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9024" w14:textId="77777777" w:rsidR="00DB3DC8" w:rsidRPr="00C2367B" w:rsidRDefault="00DB3DC8" w:rsidP="00DB3DC8">
      <w:pPr>
        <w:spacing w:after="0" w:line="240" w:lineRule="auto"/>
        <w:contextualSpacing/>
        <w:rPr>
          <w:rFonts w:ascii="Aptos" w:hAnsi="Aptos" w:cstheme="minorHAnsi"/>
        </w:rPr>
      </w:pPr>
      <w:r w:rsidRPr="00C2367B">
        <w:rPr>
          <w:rFonts w:ascii="Aptos" w:hAnsi="Aptos" w:cstheme="minorHAnsi"/>
          <w:noProof/>
        </w:rPr>
        <w:drawing>
          <wp:anchor distT="0" distB="0" distL="114300" distR="114300" simplePos="0" relativeHeight="251659264" behindDoc="1" locked="0" layoutInCell="1" allowOverlap="1" wp14:anchorId="2AF27D0B" wp14:editId="33B3E504">
            <wp:simplePos x="0" y="0"/>
            <wp:positionH relativeFrom="margin">
              <wp:posOffset>938848</wp:posOffset>
            </wp:positionH>
            <wp:positionV relativeFrom="page">
              <wp:posOffset>215153</wp:posOffset>
            </wp:positionV>
            <wp:extent cx="4063457" cy="6940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DA_logo_4.20.1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4507" cy="704461"/>
                    </a:xfrm>
                    <a:prstGeom prst="rect">
                      <a:avLst/>
                    </a:prstGeom>
                  </pic:spPr>
                </pic:pic>
              </a:graphicData>
            </a:graphic>
            <wp14:sizeRelH relativeFrom="page">
              <wp14:pctWidth>0</wp14:pctWidth>
            </wp14:sizeRelH>
            <wp14:sizeRelV relativeFrom="page">
              <wp14:pctHeight>0</wp14:pctHeight>
            </wp14:sizeRelV>
          </wp:anchor>
        </w:drawing>
      </w:r>
      <w:r w:rsidRPr="00C2367B">
        <w:rPr>
          <w:rFonts w:ascii="Aptos" w:hAnsi="Aptos" w:cstheme="minorHAnsi"/>
          <w:noProof/>
        </w:rPr>
        <mc:AlternateContent>
          <mc:Choice Requires="wps">
            <w:drawing>
              <wp:anchor distT="45720" distB="45720" distL="114300" distR="114300" simplePos="0" relativeHeight="251660288" behindDoc="1" locked="0" layoutInCell="1" allowOverlap="1" wp14:anchorId="17659203" wp14:editId="2E9F427A">
                <wp:simplePos x="0" y="0"/>
                <wp:positionH relativeFrom="margin">
                  <wp:align>center</wp:align>
                </wp:positionH>
                <wp:positionV relativeFrom="margin">
                  <wp:align>top</wp:align>
                </wp:positionV>
                <wp:extent cx="6203950" cy="475488"/>
                <wp:effectExtent l="0" t="0" r="635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475488"/>
                        </a:xfrm>
                        <a:prstGeom prst="rect">
                          <a:avLst/>
                        </a:prstGeom>
                        <a:solidFill>
                          <a:srgbClr val="FFFFFF"/>
                        </a:solidFill>
                        <a:ln w="9525">
                          <a:noFill/>
                          <a:miter lim="800000"/>
                          <a:headEnd/>
                          <a:tailEnd/>
                        </a:ln>
                      </wps:spPr>
                      <wps:txbx>
                        <w:txbxContent>
                          <w:p w14:paraId="05233B3B" w14:textId="77777777" w:rsidR="00DB3DC8" w:rsidRPr="00C2367B" w:rsidRDefault="00DB3DC8" w:rsidP="00DB3DC8">
                            <w:pPr>
                              <w:jc w:val="center"/>
                              <w:rPr>
                                <w:rFonts w:ascii="Aptos Display" w:hAnsi="Aptos Display" w:cs="Tahoma"/>
                                <w:sz w:val="24"/>
                                <w:szCs w:val="24"/>
                              </w:rPr>
                            </w:pPr>
                            <w:r w:rsidRPr="00C2367B">
                              <w:rPr>
                                <w:rFonts w:ascii="Aptos Display" w:hAnsi="Aptos Display" w:cs="Tahoma"/>
                                <w:b/>
                                <w:color w:val="004F6E"/>
                                <w:sz w:val="24"/>
                                <w:szCs w:val="24"/>
                              </w:rPr>
                              <w:t>PRACTICE ADVISORY</w:t>
                            </w:r>
                            <w:r w:rsidRPr="00C2367B">
                              <w:rPr>
                                <w:rFonts w:ascii="Aptos Display" w:hAnsi="Aptos Display" w:cs="Tahoma"/>
                                <w:color w:val="004F6E"/>
                                <w:sz w:val="24"/>
                                <w:szCs w:val="24"/>
                              </w:rPr>
                              <w:t xml:space="preserve"> | updated 4/12/2024 | D’Adre Cunningham  </w:t>
                            </w:r>
                            <w:r w:rsidRPr="00C2367B">
                              <w:rPr>
                                <w:rFonts w:ascii="Aptos Display" w:hAnsi="Aptos Display" w:cs="Tahoma"/>
                                <w:color w:val="004F6E"/>
                                <w:sz w:val="24"/>
                                <w:szCs w:val="24"/>
                              </w:rPr>
                              <w:br/>
                            </w:r>
                            <w:r>
                              <w:rPr>
                                <w:rFonts w:ascii="Aptos Display" w:hAnsi="Aptos Display" w:cs="Tahoma"/>
                                <w:color w:val="014F6E"/>
                                <w:sz w:val="24"/>
                                <w:szCs w:val="24"/>
                              </w:rPr>
                              <w:t>Part I-</w:t>
                            </w:r>
                            <w:r w:rsidRPr="00C2367B">
                              <w:rPr>
                                <w:rFonts w:ascii="Aptos Display" w:hAnsi="Aptos Display" w:cs="Tahoma"/>
                                <w:color w:val="014F6E"/>
                                <w:sz w:val="24"/>
                                <w:szCs w:val="24"/>
                              </w:rPr>
                              <w:t xml:space="preserve">Dependency Immigration Basics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59203" id="_x0000_t202" coordsize="21600,21600" o:spt="202" path="m,l,21600r21600,l21600,xe">
                <v:stroke joinstyle="miter"/>
                <v:path gradientshapeok="t" o:connecttype="rect"/>
              </v:shapetype>
              <v:shape id="Text Box 5" o:spid="_x0000_s1026" type="#_x0000_t202" style="position:absolute;margin-left:0;margin-top:0;width:488.5pt;height:37.45pt;z-index:-251656192;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8oDQ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" stroked="f">
                <v:textbox>
                  <w:txbxContent>
                    <w:p w14:paraId="05233B3B" w14:textId="77777777" w:rsidR="00DB3DC8" w:rsidRPr="00C2367B" w:rsidRDefault="00DB3DC8" w:rsidP="00DB3DC8">
                      <w:pPr>
                        <w:jc w:val="center"/>
                        <w:rPr>
                          <w:rFonts w:ascii="Aptos Display" w:hAnsi="Aptos Display" w:cs="Tahoma"/>
                          <w:sz w:val="24"/>
                          <w:szCs w:val="24"/>
                        </w:rPr>
                      </w:pPr>
                      <w:r w:rsidRPr="00C2367B">
                        <w:rPr>
                          <w:rFonts w:ascii="Aptos Display" w:hAnsi="Aptos Display" w:cs="Tahoma"/>
                          <w:b/>
                          <w:color w:val="004F6E"/>
                          <w:sz w:val="24"/>
                          <w:szCs w:val="24"/>
                        </w:rPr>
                        <w:t>PRACTICE ADVISORY</w:t>
                      </w:r>
                      <w:r w:rsidRPr="00C2367B">
                        <w:rPr>
                          <w:rFonts w:ascii="Aptos Display" w:hAnsi="Aptos Display" w:cs="Tahoma"/>
                          <w:color w:val="004F6E"/>
                          <w:sz w:val="24"/>
                          <w:szCs w:val="24"/>
                        </w:rPr>
                        <w:t xml:space="preserve"> | updated 4/12/2024 | D’Adre Cunningham  </w:t>
                      </w:r>
                      <w:r w:rsidRPr="00C2367B">
                        <w:rPr>
                          <w:rFonts w:ascii="Aptos Display" w:hAnsi="Aptos Display" w:cs="Tahoma"/>
                          <w:color w:val="004F6E"/>
                          <w:sz w:val="24"/>
                          <w:szCs w:val="24"/>
                        </w:rPr>
                        <w:br/>
                      </w:r>
                      <w:r>
                        <w:rPr>
                          <w:rFonts w:ascii="Aptos Display" w:hAnsi="Aptos Display" w:cs="Tahoma"/>
                          <w:color w:val="014F6E"/>
                          <w:sz w:val="24"/>
                          <w:szCs w:val="24"/>
                        </w:rPr>
                        <w:t>Part I-</w:t>
                      </w:r>
                      <w:r w:rsidRPr="00C2367B">
                        <w:rPr>
                          <w:rFonts w:ascii="Aptos Display" w:hAnsi="Aptos Display" w:cs="Tahoma"/>
                          <w:color w:val="014F6E"/>
                          <w:sz w:val="24"/>
                          <w:szCs w:val="24"/>
                        </w:rPr>
                        <w:t xml:space="preserve">Dependency Immigration Basics </w:t>
                      </w:r>
                    </w:p>
                  </w:txbxContent>
                </v:textbox>
                <w10:wrap anchorx="margin" anchory="margin"/>
              </v:shape>
            </w:pict>
          </mc:Fallback>
        </mc:AlternateContent>
      </w:r>
    </w:p>
    <w:p w14:paraId="49926F26" w14:textId="77777777" w:rsidR="00DB3DC8" w:rsidRPr="00C2367B" w:rsidRDefault="00DB3DC8" w:rsidP="00DB3DC8">
      <w:pPr>
        <w:spacing w:after="0" w:line="240" w:lineRule="auto"/>
        <w:contextualSpacing/>
        <w:rPr>
          <w:rFonts w:ascii="Aptos" w:hAnsi="Aptos" w:cstheme="minorHAnsi"/>
        </w:rPr>
      </w:pPr>
    </w:p>
    <w:p w14:paraId="11BED5E1" w14:textId="77777777" w:rsidR="00DB3DC8" w:rsidRPr="00C2367B" w:rsidRDefault="00DB3DC8" w:rsidP="00DB3DC8">
      <w:pPr>
        <w:spacing w:after="0" w:line="240" w:lineRule="auto"/>
        <w:contextualSpacing/>
        <w:rPr>
          <w:rFonts w:ascii="Aptos" w:hAnsi="Aptos" w:cstheme="minorHAnsi"/>
        </w:rPr>
      </w:pPr>
    </w:p>
    <w:p w14:paraId="611FE0BE" w14:textId="77777777" w:rsidR="00DB3DC8" w:rsidRPr="00C2367B" w:rsidRDefault="00DB3DC8" w:rsidP="00DB3DC8">
      <w:pPr>
        <w:spacing w:after="0" w:line="240" w:lineRule="auto"/>
        <w:contextualSpacing/>
        <w:rPr>
          <w:rFonts w:ascii="Aptos" w:hAnsi="Aptos" w:cstheme="minorHAnsi"/>
        </w:rPr>
      </w:pPr>
      <w:r w:rsidRPr="00C2367B">
        <w:rPr>
          <w:rFonts w:ascii="Aptos" w:hAnsi="Aptos" w:cstheme="minorHAnsi"/>
          <w:b/>
          <w:bCs/>
        </w:rPr>
        <w:t>Introduction</w:t>
      </w:r>
      <w:r w:rsidRPr="00C2367B">
        <w:rPr>
          <w:rFonts w:ascii="Aptos" w:hAnsi="Aptos" w:cstheme="minorHAnsi"/>
        </w:rPr>
        <w:t>.</w:t>
      </w:r>
      <w:r w:rsidRPr="00C2367B">
        <w:rPr>
          <w:rStyle w:val="EndnoteReference"/>
          <w:rFonts w:ascii="Aptos" w:eastAsia="Times New Roman" w:hAnsi="Aptos" w:cstheme="minorHAnsi"/>
        </w:rPr>
        <w:endnoteReference w:id="1"/>
      </w:r>
      <w:r w:rsidRPr="00C2367B">
        <w:rPr>
          <w:rFonts w:ascii="Aptos" w:hAnsi="Aptos"/>
        </w:rPr>
        <w:t xml:space="preserve">  </w:t>
      </w:r>
    </w:p>
    <w:p w14:paraId="1EFDC838" w14:textId="77777777" w:rsidR="00DB3DC8" w:rsidRPr="00C2367B" w:rsidRDefault="00DB3DC8" w:rsidP="00DB3DC8">
      <w:pPr>
        <w:spacing w:after="0" w:line="240" w:lineRule="auto"/>
        <w:contextualSpacing/>
        <w:rPr>
          <w:rFonts w:ascii="Aptos" w:eastAsia="Times New Roman" w:hAnsi="Aptos" w:cstheme="minorHAnsi"/>
        </w:rPr>
      </w:pPr>
      <w:r w:rsidRPr="00C2367B">
        <w:rPr>
          <w:rFonts w:ascii="Aptos" w:hAnsi="Aptos" w:cstheme="minorHAnsi"/>
        </w:rPr>
        <w:t xml:space="preserve">This practice advisory describes basic immigration concepts and how they intersect with a dependency defense practice and </w:t>
      </w:r>
      <w:r w:rsidRPr="00C2367B">
        <w:rPr>
          <w:rFonts w:ascii="Aptos" w:eastAsia="Times New Roman" w:hAnsi="Aptos" w:cstheme="minorHAnsi"/>
        </w:rPr>
        <w:t>discuss</w:t>
      </w:r>
      <w:r>
        <w:rPr>
          <w:rFonts w:ascii="Aptos" w:eastAsia="Times New Roman" w:hAnsi="Aptos" w:cstheme="minorHAnsi"/>
        </w:rPr>
        <w:t>es</w:t>
      </w:r>
      <w:r w:rsidRPr="00C2367B">
        <w:rPr>
          <w:rFonts w:ascii="Aptos" w:eastAsia="Times New Roman" w:hAnsi="Aptos" w:cstheme="minorHAnsi"/>
        </w:rPr>
        <w:t xml:space="preserve"> how basic immigration law intersect</w:t>
      </w:r>
      <w:r>
        <w:rPr>
          <w:rFonts w:ascii="Aptos" w:eastAsia="Times New Roman" w:hAnsi="Aptos" w:cstheme="minorHAnsi"/>
        </w:rPr>
        <w:t>s</w:t>
      </w:r>
      <w:r w:rsidRPr="00C2367B">
        <w:rPr>
          <w:rFonts w:ascii="Aptos" w:eastAsia="Times New Roman" w:hAnsi="Aptos" w:cstheme="minorHAnsi"/>
        </w:rPr>
        <w:t xml:space="preserve"> with the legal representation of parents and children in dependency court proceedings.  It also </w:t>
      </w:r>
      <w:r>
        <w:rPr>
          <w:rFonts w:ascii="Aptos" w:eastAsia="Times New Roman" w:hAnsi="Aptos" w:cstheme="minorHAnsi"/>
        </w:rPr>
        <w:t>tells</w:t>
      </w:r>
      <w:r w:rsidRPr="00C2367B">
        <w:rPr>
          <w:rFonts w:ascii="Aptos" w:eastAsia="Times New Roman" w:hAnsi="Aptos" w:cstheme="minorHAnsi"/>
        </w:rPr>
        <w:t xml:space="preserve"> family defenders the ways in which dependency court orders (as well as DCYF actions) may have devastating </w:t>
      </w:r>
      <w:r w:rsidRPr="00C2367B">
        <w:rPr>
          <w:rFonts w:ascii="Aptos" w:eastAsia="Times New Roman" w:hAnsi="Aptos" w:cstheme="minorHAnsi"/>
          <w:b/>
          <w:i/>
        </w:rPr>
        <w:t>direct</w:t>
      </w:r>
      <w:r w:rsidRPr="00C2367B">
        <w:rPr>
          <w:rFonts w:ascii="Aptos" w:eastAsia="Times New Roman" w:hAnsi="Aptos" w:cstheme="minorHAnsi"/>
        </w:rPr>
        <w:t xml:space="preserve"> immigration consequences for noncitizen clients.  Federal immigration enforcement practices always impact noncitizen dependency clients and their ability to keep their families together.   Family defenders must provide effective and competent, if not zealous, legal representation.</w:t>
      </w:r>
      <w:r w:rsidRPr="00C2367B">
        <w:rPr>
          <w:rStyle w:val="EndnoteReference"/>
          <w:rFonts w:ascii="Aptos" w:eastAsia="Times New Roman" w:hAnsi="Aptos" w:cstheme="minorHAnsi"/>
        </w:rPr>
        <w:endnoteReference w:id="2"/>
      </w:r>
      <w:r w:rsidRPr="00C2367B">
        <w:rPr>
          <w:rFonts w:ascii="Aptos" w:eastAsia="Times New Roman" w:hAnsi="Aptos" w:cstheme="minorHAnsi"/>
        </w:rPr>
        <w:t xml:space="preserve">  Noncitizens may become subject to state intervention under Title 13 dependency court proceedings</w:t>
      </w:r>
      <w:r>
        <w:rPr>
          <w:rFonts w:ascii="Aptos" w:eastAsia="Times New Roman" w:hAnsi="Aptos" w:cstheme="minorHAnsi"/>
        </w:rPr>
        <w:t>,</w:t>
      </w:r>
      <w:r w:rsidRPr="00C2367B">
        <w:rPr>
          <w:rFonts w:ascii="Aptos" w:eastAsia="Times New Roman" w:hAnsi="Aptos" w:cstheme="minorHAnsi"/>
        </w:rPr>
        <w:t xml:space="preserve"> either because they reside in the United States with their child(ren) or because their child(ren) reside in the United States without them.    </w:t>
      </w:r>
    </w:p>
    <w:p w14:paraId="08F6D51A" w14:textId="77777777" w:rsidR="00DB3DC8" w:rsidRPr="00C2367B" w:rsidRDefault="00DB3DC8" w:rsidP="00DB3DC8">
      <w:pPr>
        <w:spacing w:after="0" w:line="240" w:lineRule="auto"/>
        <w:contextualSpacing/>
        <w:rPr>
          <w:rFonts w:ascii="Aptos" w:hAnsi="Aptos" w:cstheme="minorHAnsi"/>
        </w:rPr>
      </w:pPr>
    </w:p>
    <w:p w14:paraId="005A083D" w14:textId="77777777" w:rsidR="00DB3DC8" w:rsidRPr="00C2367B" w:rsidRDefault="00DB3DC8" w:rsidP="00DB3DC8">
      <w:pPr>
        <w:spacing w:after="0" w:line="240" w:lineRule="auto"/>
        <w:ind w:left="-5" w:right="264" w:hanging="10"/>
        <w:contextualSpacing/>
        <w:rPr>
          <w:rFonts w:ascii="Aptos" w:hAnsi="Aptos" w:cstheme="minorHAnsi"/>
        </w:rPr>
      </w:pPr>
      <w:r w:rsidRPr="00C2367B">
        <w:rPr>
          <w:rFonts w:ascii="Aptos" w:eastAsia="Times New Roman" w:hAnsi="Aptos" w:cstheme="minorHAnsi"/>
        </w:rPr>
        <w:t>A noncitizen</w:t>
      </w:r>
      <w:r>
        <w:rPr>
          <w:rFonts w:ascii="Aptos" w:eastAsia="Times New Roman" w:hAnsi="Aptos" w:cstheme="minorHAnsi"/>
        </w:rPr>
        <w:t xml:space="preserve"> is </w:t>
      </w:r>
      <w:r w:rsidRPr="00C2367B">
        <w:rPr>
          <w:rFonts w:ascii="Aptos" w:eastAsia="Times New Roman" w:hAnsi="Aptos" w:cstheme="minorHAnsi"/>
        </w:rPr>
        <w:t>anyone who is not a U.S. citizen or U.S. national.</w:t>
      </w:r>
      <w:r w:rsidRPr="00C2367B">
        <w:rPr>
          <w:rStyle w:val="EndnoteReference"/>
          <w:rFonts w:ascii="Aptos" w:eastAsia="Times New Roman" w:hAnsi="Aptos" w:cstheme="minorHAnsi"/>
        </w:rPr>
        <w:endnoteReference w:id="3"/>
      </w:r>
      <w:r w:rsidRPr="00C2367B">
        <w:rPr>
          <w:rFonts w:ascii="Aptos" w:eastAsia="Times New Roman" w:hAnsi="Aptos" w:cstheme="minorHAnsi"/>
        </w:rPr>
        <w:t xml:space="preserve"> Both children and parents of any age might be noncitizens.  </w:t>
      </w:r>
      <w:r>
        <w:rPr>
          <w:rFonts w:ascii="Aptos" w:eastAsia="Times New Roman" w:hAnsi="Aptos" w:cstheme="minorHAnsi"/>
        </w:rPr>
        <w:t>T</w:t>
      </w:r>
      <w:r w:rsidRPr="00C2367B">
        <w:rPr>
          <w:rFonts w:ascii="Aptos" w:eastAsia="Times New Roman" w:hAnsi="Aptos" w:cstheme="minorHAnsi"/>
        </w:rPr>
        <w:t>he children of noncitizen parents may have only U.S. citizenship</w:t>
      </w:r>
      <w:r>
        <w:rPr>
          <w:rFonts w:ascii="Aptos" w:eastAsia="Times New Roman" w:hAnsi="Aptos" w:cstheme="minorHAnsi"/>
        </w:rPr>
        <w:t>,</w:t>
      </w:r>
      <w:r w:rsidRPr="00C2367B">
        <w:rPr>
          <w:rFonts w:ascii="Aptos" w:eastAsia="Times New Roman" w:hAnsi="Aptos" w:cstheme="minorHAnsi"/>
        </w:rPr>
        <w:t xml:space="preserve"> may have dual nationality with the United States</w:t>
      </w:r>
      <w:r>
        <w:rPr>
          <w:rFonts w:ascii="Aptos" w:eastAsia="Times New Roman" w:hAnsi="Aptos" w:cstheme="minorHAnsi"/>
        </w:rPr>
        <w:t>,</w:t>
      </w:r>
      <w:r w:rsidRPr="00C2367B">
        <w:rPr>
          <w:rFonts w:ascii="Aptos" w:eastAsia="Times New Roman" w:hAnsi="Aptos" w:cstheme="minorHAnsi"/>
        </w:rPr>
        <w:t xml:space="preserve"> or may have dual nationality with one or more foreign countries.  Some noncitizen parents and children may also be stateless.</w:t>
      </w:r>
      <w:r w:rsidRPr="00C2367B">
        <w:rPr>
          <w:rStyle w:val="EndnoteReference"/>
          <w:rFonts w:ascii="Aptos" w:eastAsia="Times New Roman" w:hAnsi="Aptos" w:cstheme="minorHAnsi"/>
        </w:rPr>
        <w:endnoteReference w:id="4"/>
      </w:r>
      <w:r w:rsidRPr="00C2367B">
        <w:rPr>
          <w:rFonts w:ascii="Aptos" w:eastAsia="Times New Roman" w:hAnsi="Aptos" w:cstheme="minorHAnsi"/>
        </w:rPr>
        <w:t xml:space="preserve"> </w:t>
      </w:r>
    </w:p>
    <w:p w14:paraId="18FAABB5" w14:textId="77777777" w:rsidR="00DB3DC8" w:rsidRPr="00C2367B" w:rsidRDefault="00DB3DC8" w:rsidP="00DB3DC8">
      <w:pPr>
        <w:spacing w:after="0" w:line="240" w:lineRule="auto"/>
        <w:contextualSpacing/>
        <w:rPr>
          <w:rFonts w:ascii="Aptos" w:hAnsi="Aptos" w:cstheme="minorHAnsi"/>
        </w:rPr>
      </w:pPr>
      <w:r w:rsidRPr="00C2367B">
        <w:rPr>
          <w:rFonts w:ascii="Aptos" w:eastAsia="Times New Roman" w:hAnsi="Aptos" w:cstheme="minorHAnsi"/>
          <w:b/>
        </w:rPr>
        <w:t xml:space="preserve"> </w:t>
      </w:r>
    </w:p>
    <w:p w14:paraId="639A0449" w14:textId="77777777" w:rsidR="00DB3DC8" w:rsidRPr="00C2367B" w:rsidRDefault="00DB3DC8" w:rsidP="00DB3DC8">
      <w:pPr>
        <w:spacing w:after="0" w:line="240" w:lineRule="auto"/>
        <w:ind w:left="-5" w:right="264" w:hanging="10"/>
        <w:contextualSpacing/>
        <w:rPr>
          <w:rFonts w:ascii="Aptos" w:eastAsia="Times New Roman" w:hAnsi="Aptos" w:cstheme="minorHAnsi"/>
          <w:b/>
        </w:rPr>
      </w:pPr>
      <w:r w:rsidRPr="00C2367B">
        <w:rPr>
          <w:rFonts w:ascii="Aptos" w:eastAsia="Times New Roman" w:hAnsi="Aptos" w:cstheme="minorHAnsi"/>
          <w:b/>
        </w:rPr>
        <w:t xml:space="preserve">Ongoing Duty of Diligence in Advising Clients Regarding Immigration Consequences  </w:t>
      </w:r>
    </w:p>
    <w:p w14:paraId="26A3624F" w14:textId="77777777" w:rsidR="00DB3DC8" w:rsidRPr="00C2367B" w:rsidRDefault="00DB3DC8" w:rsidP="00DB3DC8">
      <w:pPr>
        <w:spacing w:after="0" w:line="240" w:lineRule="auto"/>
        <w:ind w:left="-5" w:right="264" w:hanging="10"/>
        <w:contextualSpacing/>
        <w:rPr>
          <w:rFonts w:ascii="Aptos" w:hAnsi="Aptos" w:cstheme="minorHAnsi"/>
        </w:rPr>
      </w:pPr>
      <w:r w:rsidRPr="00C2367B">
        <w:rPr>
          <w:rFonts w:ascii="Aptos" w:eastAsia="Times New Roman" w:hAnsi="Aptos" w:cstheme="minorHAnsi"/>
        </w:rPr>
        <w:t xml:space="preserve">Criminal defenders are often reminded about the </w:t>
      </w:r>
      <w:proofErr w:type="gramStart"/>
      <w:r w:rsidRPr="00C2367B">
        <w:rPr>
          <w:rFonts w:ascii="Aptos" w:eastAsia="Times New Roman" w:hAnsi="Aptos" w:cstheme="minorHAnsi"/>
        </w:rPr>
        <w:t>devastating immigration</w:t>
      </w:r>
      <w:proofErr w:type="gramEnd"/>
      <w:r w:rsidRPr="00C2367B">
        <w:rPr>
          <w:rFonts w:ascii="Aptos" w:eastAsia="Times New Roman" w:hAnsi="Aptos" w:cstheme="minorHAnsi"/>
        </w:rPr>
        <w:t xml:space="preserve"> consequences of criminal convictions.</w:t>
      </w:r>
      <w:r w:rsidRPr="00C2367B">
        <w:rPr>
          <w:rStyle w:val="EndnoteReference"/>
          <w:rFonts w:ascii="Aptos" w:eastAsia="Times New Roman" w:hAnsi="Aptos" w:cstheme="minorHAnsi"/>
        </w:rPr>
        <w:endnoteReference w:id="5"/>
      </w:r>
      <w:r w:rsidRPr="00C2367B">
        <w:rPr>
          <w:rFonts w:ascii="Aptos" w:eastAsia="Times New Roman" w:hAnsi="Aptos" w:cstheme="minorHAnsi"/>
        </w:rPr>
        <w:t xml:space="preserve">  Family defenders should </w:t>
      </w:r>
      <w:r w:rsidRPr="00C2367B">
        <w:rPr>
          <w:rFonts w:ascii="Aptos" w:eastAsia="Times New Roman" w:hAnsi="Aptos" w:cstheme="minorHAnsi"/>
          <w:i/>
        </w:rPr>
        <w:t>also</w:t>
      </w:r>
      <w:r w:rsidRPr="00C2367B">
        <w:rPr>
          <w:rFonts w:ascii="Aptos" w:eastAsia="Times New Roman" w:hAnsi="Aptos" w:cstheme="minorHAnsi"/>
        </w:rPr>
        <w:t xml:space="preserve"> take great care to ensure they provide competent, diligent legal representation and advice. Such representation helps clients make informed, intelligent, and voluntary decisions in their dependency court cases.</w:t>
      </w:r>
      <w:r w:rsidRPr="00C2367B">
        <w:rPr>
          <w:rStyle w:val="EndnoteReference"/>
          <w:rFonts w:ascii="Aptos" w:eastAsia="Times New Roman" w:hAnsi="Aptos" w:cstheme="minorHAnsi"/>
        </w:rPr>
        <w:endnoteReference w:id="6"/>
      </w:r>
      <w:r w:rsidRPr="00C2367B">
        <w:rPr>
          <w:rFonts w:ascii="Aptos" w:eastAsia="Times New Roman" w:hAnsi="Aptos" w:cstheme="minorHAnsi"/>
        </w:rPr>
        <w:t xml:space="preserve">  Because immigration law is a hyper-technical area of </w:t>
      </w:r>
      <w:r>
        <w:rPr>
          <w:rFonts w:ascii="Aptos" w:eastAsia="Times New Roman" w:hAnsi="Aptos" w:cstheme="minorHAnsi"/>
        </w:rPr>
        <w:t>law</w:t>
      </w:r>
      <w:r w:rsidRPr="00C2367B">
        <w:rPr>
          <w:rFonts w:ascii="Aptos" w:eastAsia="Times New Roman" w:hAnsi="Aptos" w:cstheme="minorHAnsi"/>
        </w:rPr>
        <w:t>, family defenders who do not have immigration law expertise should strongly consider</w:t>
      </w:r>
      <w:r>
        <w:rPr>
          <w:rFonts w:ascii="Aptos" w:eastAsia="Times New Roman" w:hAnsi="Aptos" w:cstheme="minorHAnsi"/>
        </w:rPr>
        <w:t xml:space="preserve"> </w:t>
      </w:r>
      <w:r w:rsidRPr="00C2367B">
        <w:rPr>
          <w:rFonts w:ascii="Aptos" w:eastAsia="Times New Roman" w:hAnsi="Aptos" w:cstheme="minorHAnsi"/>
        </w:rPr>
        <w:t>consulti</w:t>
      </w:r>
      <w:r>
        <w:rPr>
          <w:rFonts w:ascii="Aptos" w:eastAsia="Times New Roman" w:hAnsi="Aptos" w:cstheme="minorHAnsi"/>
        </w:rPr>
        <w:t xml:space="preserve">ng </w:t>
      </w:r>
      <w:r w:rsidRPr="00C2367B">
        <w:rPr>
          <w:rFonts w:ascii="Aptos" w:eastAsia="Times New Roman" w:hAnsi="Aptos" w:cstheme="minorHAnsi"/>
        </w:rPr>
        <w:t xml:space="preserve"> with immigration law experts </w:t>
      </w:r>
      <w:r>
        <w:rPr>
          <w:rFonts w:ascii="Aptos" w:eastAsia="Times New Roman" w:hAnsi="Aptos" w:cstheme="minorHAnsi"/>
        </w:rPr>
        <w:t>so they can</w:t>
      </w:r>
      <w:r w:rsidRPr="00C2367B">
        <w:rPr>
          <w:rFonts w:ascii="Aptos" w:eastAsia="Times New Roman" w:hAnsi="Aptos" w:cstheme="minorHAnsi"/>
        </w:rPr>
        <w:t xml:space="preserve"> correctly advise their clients about the direct and collateral immigration consequences of the dependency court intervention.</w:t>
      </w:r>
      <w:r w:rsidRPr="00C2367B">
        <w:rPr>
          <w:rStyle w:val="EndnoteReference"/>
          <w:rFonts w:ascii="Aptos" w:eastAsia="Times New Roman" w:hAnsi="Aptos" w:cstheme="minorHAnsi"/>
        </w:rPr>
        <w:endnoteReference w:id="7"/>
      </w:r>
      <w:r w:rsidRPr="00C2367B">
        <w:rPr>
          <w:rFonts w:ascii="Aptos" w:eastAsia="Times New Roman" w:hAnsi="Aptos" w:cstheme="minorHAnsi"/>
        </w:rPr>
        <w:t xml:space="preserve">   Family defenders representing parents and child practitioners should consider </w:t>
      </w:r>
      <w:r>
        <w:rPr>
          <w:rFonts w:ascii="Aptos" w:eastAsia="Times New Roman" w:hAnsi="Aptos" w:cstheme="minorHAnsi"/>
        </w:rPr>
        <w:t>helping</w:t>
      </w:r>
      <w:r w:rsidRPr="00C2367B">
        <w:rPr>
          <w:rFonts w:ascii="Aptos" w:eastAsia="Times New Roman" w:hAnsi="Aptos" w:cstheme="minorHAnsi"/>
        </w:rPr>
        <w:t xml:space="preserve"> their clients </w:t>
      </w:r>
      <w:r>
        <w:rPr>
          <w:rFonts w:ascii="Aptos" w:eastAsia="Times New Roman" w:hAnsi="Aptos" w:cstheme="minorHAnsi"/>
        </w:rPr>
        <w:t>get</w:t>
      </w:r>
      <w:r w:rsidRPr="00C2367B">
        <w:rPr>
          <w:rFonts w:ascii="Aptos" w:eastAsia="Times New Roman" w:hAnsi="Aptos" w:cstheme="minorHAnsi"/>
        </w:rPr>
        <w:t xml:space="preserve"> direct legal representation advice in their immigration proceedings as soon as possible</w:t>
      </w:r>
      <w:r>
        <w:rPr>
          <w:rFonts w:ascii="Aptos" w:eastAsia="Times New Roman" w:hAnsi="Aptos" w:cstheme="minorHAnsi"/>
        </w:rPr>
        <w:t>, especially</w:t>
      </w:r>
      <w:r w:rsidRPr="00C2367B">
        <w:rPr>
          <w:rFonts w:ascii="Aptos" w:eastAsia="Times New Roman" w:hAnsi="Aptos" w:cstheme="minorHAnsi"/>
        </w:rPr>
        <w:t xml:space="preserve"> when their clients are in custody and are unrepresented in potential or existing immigration proceedings.</w:t>
      </w:r>
      <w:r w:rsidRPr="00C2367B">
        <w:rPr>
          <w:rStyle w:val="EndnoteReference"/>
          <w:rFonts w:ascii="Aptos" w:eastAsia="Times New Roman" w:hAnsi="Aptos" w:cstheme="minorHAnsi"/>
        </w:rPr>
        <w:endnoteReference w:id="8"/>
      </w:r>
      <w:r w:rsidRPr="00C2367B">
        <w:rPr>
          <w:rFonts w:ascii="Aptos" w:eastAsia="Times New Roman" w:hAnsi="Aptos" w:cstheme="minorHAnsi"/>
        </w:rPr>
        <w:t xml:space="preserve">    </w:t>
      </w:r>
    </w:p>
    <w:p w14:paraId="64FF2B11" w14:textId="77777777" w:rsidR="00DB3DC8" w:rsidRPr="00C2367B" w:rsidRDefault="00DB3DC8" w:rsidP="00DB3DC8">
      <w:pPr>
        <w:spacing w:after="0" w:line="240" w:lineRule="auto"/>
        <w:contextualSpacing/>
        <w:rPr>
          <w:rFonts w:ascii="Aptos" w:hAnsi="Aptos" w:cstheme="minorHAnsi"/>
        </w:rPr>
      </w:pPr>
      <w:r w:rsidRPr="00C2367B">
        <w:rPr>
          <w:rFonts w:ascii="Aptos" w:eastAsia="Times New Roman" w:hAnsi="Aptos" w:cstheme="minorHAnsi"/>
          <w:b/>
        </w:rPr>
        <w:t xml:space="preserve"> </w:t>
      </w:r>
    </w:p>
    <w:p w14:paraId="2C241820" w14:textId="77777777" w:rsidR="00DB3DC8" w:rsidRPr="00C2367B" w:rsidRDefault="00DB3DC8" w:rsidP="00DB3DC8">
      <w:pPr>
        <w:spacing w:after="0" w:line="240" w:lineRule="auto"/>
        <w:ind w:left="-5" w:hanging="10"/>
        <w:contextualSpacing/>
        <w:rPr>
          <w:rFonts w:ascii="Aptos" w:hAnsi="Aptos" w:cstheme="minorHAnsi"/>
        </w:rPr>
      </w:pPr>
      <w:r w:rsidRPr="00C2367B">
        <w:rPr>
          <w:rFonts w:ascii="Aptos" w:eastAsia="Times New Roman" w:hAnsi="Aptos" w:cstheme="minorHAnsi"/>
          <w:b/>
        </w:rPr>
        <w:t xml:space="preserve">Immigration Enforcement Basics </w:t>
      </w:r>
    </w:p>
    <w:p w14:paraId="7FBE3B25" w14:textId="77777777" w:rsidR="00DB3DC8" w:rsidRPr="00C2367B" w:rsidRDefault="00DB3DC8" w:rsidP="00DB3DC8">
      <w:pPr>
        <w:numPr>
          <w:ilvl w:val="0"/>
          <w:numId w:val="1"/>
        </w:numPr>
        <w:spacing w:after="0" w:line="240" w:lineRule="auto"/>
        <w:ind w:right="264" w:hanging="360"/>
        <w:contextualSpacing/>
        <w:rPr>
          <w:rFonts w:ascii="Aptos" w:hAnsi="Aptos" w:cstheme="minorHAnsi"/>
        </w:rPr>
      </w:pPr>
      <w:r w:rsidRPr="00C2367B">
        <w:rPr>
          <w:rFonts w:ascii="Aptos" w:eastAsia="Times New Roman" w:hAnsi="Aptos" w:cstheme="minorHAnsi"/>
        </w:rPr>
        <w:t xml:space="preserve">Any client who is not a U.S. citizen faces potential immigration consequences when they enter the dependency court system.  </w:t>
      </w:r>
    </w:p>
    <w:p w14:paraId="3FEFEB22" w14:textId="77777777" w:rsidR="00DB3DC8" w:rsidRPr="00C2367B" w:rsidRDefault="00DB3DC8" w:rsidP="00DB3DC8">
      <w:pPr>
        <w:numPr>
          <w:ilvl w:val="0"/>
          <w:numId w:val="1"/>
        </w:numPr>
        <w:spacing w:after="0" w:line="240" w:lineRule="auto"/>
        <w:ind w:right="264" w:hanging="360"/>
        <w:contextualSpacing/>
        <w:rPr>
          <w:rFonts w:ascii="Aptos" w:hAnsi="Aptos" w:cstheme="minorHAnsi"/>
        </w:rPr>
      </w:pPr>
      <w:r w:rsidRPr="00C2367B">
        <w:rPr>
          <w:rFonts w:ascii="Aptos" w:eastAsia="Times New Roman" w:hAnsi="Aptos" w:cstheme="minorHAnsi"/>
        </w:rPr>
        <w:t xml:space="preserve">Even clients with lawful immigration status can be at risk of losing their status and being placed in removal proceedings.  </w:t>
      </w:r>
    </w:p>
    <w:p w14:paraId="721C5862" w14:textId="77777777" w:rsidR="00DB3DC8" w:rsidRPr="00C2367B" w:rsidRDefault="00DB3DC8" w:rsidP="00DB3DC8">
      <w:pPr>
        <w:numPr>
          <w:ilvl w:val="0"/>
          <w:numId w:val="1"/>
        </w:numPr>
        <w:spacing w:after="0" w:line="240" w:lineRule="auto"/>
        <w:ind w:right="264" w:hanging="360"/>
        <w:contextualSpacing/>
        <w:rPr>
          <w:rFonts w:ascii="Aptos" w:hAnsi="Aptos" w:cstheme="minorHAnsi"/>
        </w:rPr>
      </w:pPr>
      <w:r w:rsidRPr="00C2367B">
        <w:rPr>
          <w:rFonts w:ascii="Aptos" w:eastAsia="Times New Roman" w:hAnsi="Aptos" w:cstheme="minorHAnsi"/>
        </w:rPr>
        <w:t xml:space="preserve">All undocumented persons are at risk of being placed in deportation/removal proceedings once ICE detects their presence in the U.S.  </w:t>
      </w:r>
    </w:p>
    <w:p w14:paraId="44778A0F" w14:textId="77777777" w:rsidR="00DB3DC8" w:rsidRPr="00C2367B" w:rsidRDefault="00DB3DC8" w:rsidP="00DB3DC8">
      <w:pPr>
        <w:numPr>
          <w:ilvl w:val="0"/>
          <w:numId w:val="1"/>
        </w:numPr>
        <w:spacing w:after="0" w:line="240" w:lineRule="auto"/>
        <w:ind w:right="264" w:hanging="360"/>
        <w:contextualSpacing/>
        <w:rPr>
          <w:rFonts w:ascii="Aptos" w:hAnsi="Aptos" w:cstheme="minorHAnsi"/>
        </w:rPr>
      </w:pPr>
      <w:r w:rsidRPr="00C2367B">
        <w:rPr>
          <w:rFonts w:ascii="Aptos" w:eastAsia="Times New Roman" w:hAnsi="Aptos" w:cstheme="minorHAnsi"/>
        </w:rPr>
        <w:t xml:space="preserve">Many grounds of removal are conduct-based, and admissions or judicial findings in civil courts can have serious consequences.   </w:t>
      </w:r>
    </w:p>
    <w:p w14:paraId="38F82F00" w14:textId="77777777" w:rsidR="00DB3DC8" w:rsidRPr="00C2367B" w:rsidRDefault="00DB3DC8" w:rsidP="00DB3DC8">
      <w:pPr>
        <w:numPr>
          <w:ilvl w:val="0"/>
          <w:numId w:val="1"/>
        </w:numPr>
        <w:spacing w:after="0" w:line="240" w:lineRule="auto"/>
        <w:ind w:right="264" w:hanging="360"/>
        <w:contextualSpacing/>
        <w:rPr>
          <w:rFonts w:ascii="Aptos" w:hAnsi="Aptos" w:cstheme="minorHAnsi"/>
        </w:rPr>
      </w:pPr>
      <w:r w:rsidRPr="00C2367B">
        <w:rPr>
          <w:rFonts w:ascii="Aptos" w:hAnsi="Aptos" w:cstheme="minorHAnsi"/>
          <w:noProof/>
        </w:rPr>
        <mc:AlternateContent>
          <mc:Choice Requires="wps">
            <w:drawing>
              <wp:anchor distT="45720" distB="45720" distL="114300" distR="114300" simplePos="0" relativeHeight="251661312" behindDoc="1" locked="0" layoutInCell="1" allowOverlap="1" wp14:anchorId="2EC5FD71" wp14:editId="7C989796">
                <wp:simplePos x="0" y="0"/>
                <wp:positionH relativeFrom="column">
                  <wp:posOffset>-308060</wp:posOffset>
                </wp:positionH>
                <wp:positionV relativeFrom="page">
                  <wp:posOffset>9478129</wp:posOffset>
                </wp:positionV>
                <wp:extent cx="6819900" cy="386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86080"/>
                        </a:xfrm>
                        <a:prstGeom prst="rect">
                          <a:avLst/>
                        </a:prstGeom>
                        <a:solidFill>
                          <a:srgbClr val="FFFFFF"/>
                        </a:solidFill>
                        <a:ln w="9525">
                          <a:noFill/>
                          <a:miter lim="800000"/>
                          <a:headEnd/>
                          <a:tailEnd/>
                        </a:ln>
                      </wps:spPr>
                      <wps:txbx>
                        <w:txbxContent>
                          <w:p w14:paraId="371895E6" w14:textId="77777777" w:rsidR="00DB3DC8" w:rsidRPr="00516377" w:rsidRDefault="00DB3DC8" w:rsidP="00DB3DC8">
                            <w:pPr>
                              <w:jc w:val="center"/>
                              <w:rPr>
                                <w:rFonts w:cs="Tahoma"/>
                              </w:rPr>
                            </w:pPr>
                            <w:r>
                              <w:rPr>
                                <w:rFonts w:cs="Tahoma"/>
                                <w:color w:val="014F6E"/>
                              </w:rPr>
                              <w:t>810 Third Ave, Suite 258</w:t>
                            </w:r>
                            <w:r w:rsidRPr="00516377">
                              <w:rPr>
                                <w:rFonts w:cs="Tahoma"/>
                                <w:color w:val="014F6E"/>
                              </w:rPr>
                              <w:t xml:space="preserve"> Seattle, WA 9810</w:t>
                            </w:r>
                            <w:r>
                              <w:rPr>
                                <w:rFonts w:cs="Tahoma"/>
                                <w:color w:val="014F6E"/>
                              </w:rPr>
                              <w:t>4</w:t>
                            </w:r>
                            <w:r w:rsidRPr="00516377">
                              <w:rPr>
                                <w:rFonts w:cs="Tahoma"/>
                                <w:color w:val="014F6E"/>
                              </w:rPr>
                              <w:t xml:space="preserve"> | Tel: 206-623-4321 | Fax: 206-623-5420 | </w:t>
                            </w:r>
                            <w:r w:rsidRPr="00516377">
                              <w:rPr>
                                <w:rFonts w:cs="Tahoma"/>
                                <w:b/>
                                <w:color w:val="014F6E"/>
                              </w:rPr>
                              <w:t>www.defensenet.org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C5FD71" id="Text Box 2" o:spid="_x0000_s1027" type="#_x0000_t202" style="position:absolute;left:0;text-align:left;margin-left:-24.25pt;margin-top:746.3pt;width:537pt;height:30.4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" stroked="f">
                <v:textbox style="mso-fit-shape-to-text:t">
                  <w:txbxContent>
                    <w:p w14:paraId="371895E6" w14:textId="77777777" w:rsidR="00DB3DC8" w:rsidRPr="00516377" w:rsidRDefault="00DB3DC8" w:rsidP="00DB3DC8">
                      <w:pPr>
                        <w:jc w:val="center"/>
                        <w:rPr>
                          <w:rFonts w:cs="Tahoma"/>
                        </w:rPr>
                      </w:pPr>
                      <w:r>
                        <w:rPr>
                          <w:rFonts w:cs="Tahoma"/>
                          <w:color w:val="014F6E"/>
                        </w:rPr>
                        <w:t>810 Third Ave, Suite 258</w:t>
                      </w:r>
                      <w:r w:rsidRPr="00516377">
                        <w:rPr>
                          <w:rFonts w:cs="Tahoma"/>
                          <w:color w:val="014F6E"/>
                        </w:rPr>
                        <w:t xml:space="preserve"> Seattle, WA 9810</w:t>
                      </w:r>
                      <w:r>
                        <w:rPr>
                          <w:rFonts w:cs="Tahoma"/>
                          <w:color w:val="014F6E"/>
                        </w:rPr>
                        <w:t>4</w:t>
                      </w:r>
                      <w:r w:rsidRPr="00516377">
                        <w:rPr>
                          <w:rFonts w:cs="Tahoma"/>
                          <w:color w:val="014F6E"/>
                        </w:rPr>
                        <w:t xml:space="preserve"> | Tel: 206-623-4321 | Fax: 206-623-5420 | </w:t>
                      </w:r>
                      <w:r w:rsidRPr="00516377">
                        <w:rPr>
                          <w:rFonts w:cs="Tahoma"/>
                          <w:b/>
                          <w:color w:val="014F6E"/>
                        </w:rPr>
                        <w:t>www.defensenet.org</w:t>
                      </w:r>
                    </w:p>
                  </w:txbxContent>
                </v:textbox>
                <w10:wrap anchory="page"/>
              </v:shape>
            </w:pict>
          </mc:Fallback>
        </mc:AlternateContent>
      </w:r>
      <w:r w:rsidRPr="00C2367B">
        <w:rPr>
          <w:rFonts w:ascii="Aptos" w:eastAsia="Times New Roman" w:hAnsi="Aptos" w:cstheme="minorHAnsi"/>
        </w:rPr>
        <w:t xml:space="preserve">Admissions by clients are usually admissible against them in removal proceedings.  </w:t>
      </w:r>
    </w:p>
    <w:p w14:paraId="242FECC4" w14:textId="77777777" w:rsidR="00DB3DC8" w:rsidRPr="00C2367B" w:rsidRDefault="00DB3DC8" w:rsidP="00DB3DC8">
      <w:pPr>
        <w:numPr>
          <w:ilvl w:val="0"/>
          <w:numId w:val="1"/>
        </w:numPr>
        <w:spacing w:after="0" w:line="240" w:lineRule="auto"/>
        <w:ind w:right="264" w:hanging="360"/>
        <w:contextualSpacing/>
        <w:rPr>
          <w:rFonts w:ascii="Aptos" w:hAnsi="Aptos" w:cstheme="minorHAnsi"/>
        </w:rPr>
      </w:pPr>
      <w:r w:rsidRPr="00C2367B">
        <w:rPr>
          <w:rFonts w:ascii="Aptos" w:eastAsia="Times New Roman" w:hAnsi="Aptos" w:cstheme="minorHAnsi"/>
        </w:rPr>
        <w:t xml:space="preserve">Under the new enforcement priorities, all undocumented persons who have “committed acts that constitute a chargeable criminal offense” or “pose a risk to public safety” are a particular priority for enforcement, even if they have never been convicted of a crime.  </w:t>
      </w:r>
    </w:p>
    <w:p w14:paraId="5D9AE5E8" w14:textId="041E576B" w:rsidR="00DB3DC8" w:rsidRPr="00C2367B" w:rsidRDefault="00DB3DC8" w:rsidP="00DB3DC8">
      <w:pPr>
        <w:numPr>
          <w:ilvl w:val="0"/>
          <w:numId w:val="1"/>
        </w:numPr>
        <w:spacing w:after="0" w:line="240" w:lineRule="auto"/>
        <w:ind w:right="264" w:hanging="360"/>
        <w:contextualSpacing/>
        <w:rPr>
          <w:rFonts w:ascii="Aptos" w:hAnsi="Aptos" w:cstheme="minorHAnsi"/>
        </w:rPr>
      </w:pPr>
      <w:r w:rsidRPr="00C2367B">
        <w:rPr>
          <w:rFonts w:ascii="Aptos" w:eastAsia="Times New Roman" w:hAnsi="Aptos" w:cstheme="minorHAnsi"/>
        </w:rPr>
        <w:lastRenderedPageBreak/>
        <w:t xml:space="preserve">Even if placed in removal proceedings, noncitizens may still have “relief” from </w:t>
      </w:r>
      <w:r w:rsidRPr="00C2367B">
        <w:rPr>
          <w:rFonts w:ascii="Aptos" w:eastAsia="Times New Roman" w:hAnsi="Aptos" w:cstheme="minorHAnsi"/>
        </w:rPr>
        <w:t>removal and</w:t>
      </w:r>
      <w:r w:rsidRPr="00C2367B">
        <w:rPr>
          <w:rFonts w:ascii="Aptos" w:eastAsia="Times New Roman" w:hAnsi="Aptos" w:cstheme="minorHAnsi"/>
        </w:rPr>
        <w:t xml:space="preserve"> can be granted lawful status or be allowed to maintain their lawful status. </w:t>
      </w:r>
    </w:p>
    <w:p w14:paraId="1A72D2CB" w14:textId="77777777" w:rsidR="00DB3DC8" w:rsidRPr="00C2367B" w:rsidRDefault="00DB3DC8" w:rsidP="00DB3DC8">
      <w:pPr>
        <w:numPr>
          <w:ilvl w:val="0"/>
          <w:numId w:val="1"/>
        </w:numPr>
        <w:spacing w:after="0" w:line="240" w:lineRule="auto"/>
        <w:ind w:right="264" w:hanging="360"/>
        <w:contextualSpacing/>
        <w:rPr>
          <w:rFonts w:ascii="Aptos" w:hAnsi="Aptos" w:cstheme="minorHAnsi"/>
        </w:rPr>
      </w:pPr>
      <w:r w:rsidRPr="00C2367B">
        <w:rPr>
          <w:rFonts w:ascii="Aptos" w:eastAsia="Times New Roman" w:hAnsi="Aptos" w:cstheme="minorHAnsi"/>
        </w:rPr>
        <w:t xml:space="preserve">Various forms of relief from removal exist, and family defenders can assist in obtaining predicate orders for one form of relief, Special Immigrant Juvenile Status. </w:t>
      </w:r>
    </w:p>
    <w:p w14:paraId="420D8399" w14:textId="77777777" w:rsidR="00DB3DC8" w:rsidRPr="00C2367B" w:rsidRDefault="00DB3DC8" w:rsidP="00DB3DC8">
      <w:pPr>
        <w:spacing w:after="0" w:line="240" w:lineRule="auto"/>
        <w:contextualSpacing/>
        <w:rPr>
          <w:rFonts w:ascii="Aptos" w:hAnsi="Aptos" w:cstheme="minorHAnsi"/>
        </w:rPr>
      </w:pPr>
      <w:r w:rsidRPr="00C2367B">
        <w:rPr>
          <w:rFonts w:ascii="Aptos" w:eastAsia="Times New Roman" w:hAnsi="Aptos" w:cstheme="minorHAnsi"/>
          <w:b/>
        </w:rPr>
        <w:t xml:space="preserve"> </w:t>
      </w:r>
    </w:p>
    <w:p w14:paraId="1B7E53DC" w14:textId="77777777" w:rsidR="00DB3DC8" w:rsidRPr="00C2367B" w:rsidRDefault="00DB3DC8" w:rsidP="00DB3DC8">
      <w:pPr>
        <w:spacing w:after="0" w:line="240" w:lineRule="auto"/>
        <w:ind w:left="-5" w:hanging="10"/>
        <w:contextualSpacing/>
        <w:rPr>
          <w:rFonts w:ascii="Aptos" w:hAnsi="Aptos" w:cstheme="minorHAnsi"/>
        </w:rPr>
      </w:pPr>
      <w:r w:rsidRPr="00C2367B">
        <w:rPr>
          <w:rFonts w:ascii="Aptos" w:eastAsia="Times New Roman" w:hAnsi="Aptos" w:cstheme="minorHAnsi"/>
          <w:b/>
        </w:rPr>
        <w:t xml:space="preserve">Immigration Enforcement and Removal Procedures </w:t>
      </w:r>
    </w:p>
    <w:p w14:paraId="5863D924" w14:textId="77777777" w:rsidR="00DB3DC8" w:rsidRPr="00C2367B" w:rsidRDefault="00DB3DC8" w:rsidP="00DB3DC8">
      <w:pPr>
        <w:spacing w:after="0" w:line="240" w:lineRule="auto"/>
        <w:ind w:left="-5" w:right="264" w:hanging="10"/>
        <w:contextualSpacing/>
        <w:rPr>
          <w:rFonts w:ascii="Aptos" w:hAnsi="Aptos" w:cstheme="minorHAnsi"/>
        </w:rPr>
      </w:pPr>
      <w:r w:rsidRPr="00C2367B">
        <w:rPr>
          <w:rFonts w:ascii="Aptos" w:eastAsia="Times New Roman" w:hAnsi="Aptos" w:cstheme="minorHAnsi"/>
        </w:rPr>
        <w:t>Merely being in the United States without lawful immigration status is not a crime. A person who is undocumented is in violation of civil immigration laws.  The penalty for violating civil immigration laws is “removal,” also known as deportation.</w:t>
      </w:r>
      <w:r w:rsidRPr="00C2367B">
        <w:rPr>
          <w:rStyle w:val="EndnoteReference"/>
          <w:rFonts w:ascii="Aptos" w:eastAsia="Times New Roman" w:hAnsi="Aptos" w:cstheme="minorHAnsi"/>
        </w:rPr>
        <w:endnoteReference w:id="9"/>
      </w:r>
      <w:r w:rsidRPr="00C2367B">
        <w:rPr>
          <w:rFonts w:ascii="Aptos" w:eastAsia="Times New Roman" w:hAnsi="Aptos" w:cstheme="minorHAnsi"/>
        </w:rPr>
        <w:t xml:space="preserve">    Civil violations of immigration law are </w:t>
      </w:r>
      <w:r>
        <w:rPr>
          <w:rFonts w:ascii="Aptos" w:eastAsia="Times New Roman" w:hAnsi="Aptos" w:cstheme="minorHAnsi"/>
        </w:rPr>
        <w:t>litigated</w:t>
      </w:r>
      <w:r w:rsidRPr="00C2367B">
        <w:rPr>
          <w:rFonts w:ascii="Aptos" w:eastAsia="Times New Roman" w:hAnsi="Aptos" w:cstheme="minorHAnsi"/>
        </w:rPr>
        <w:t xml:space="preserve"> in Immigration Court.</w:t>
      </w:r>
      <w:r w:rsidRPr="00C2367B">
        <w:rPr>
          <w:rStyle w:val="EndnoteReference"/>
          <w:rFonts w:ascii="Aptos" w:eastAsia="Times New Roman" w:hAnsi="Aptos" w:cstheme="minorHAnsi"/>
        </w:rPr>
        <w:endnoteReference w:id="10"/>
      </w:r>
      <w:r w:rsidRPr="00C2367B">
        <w:rPr>
          <w:rFonts w:ascii="Aptos" w:eastAsia="Times New Roman" w:hAnsi="Aptos" w:cstheme="minorHAnsi"/>
        </w:rPr>
        <w:t xml:space="preserve">   Federal agents of the U.S. Immigration and Customs Enforcement agency (ICE)</w:t>
      </w:r>
      <w:r w:rsidRPr="00C2367B">
        <w:rPr>
          <w:rStyle w:val="EndnoteReference"/>
          <w:rFonts w:ascii="Aptos" w:eastAsia="Times New Roman" w:hAnsi="Aptos" w:cstheme="minorHAnsi"/>
        </w:rPr>
        <w:endnoteReference w:id="11"/>
      </w:r>
      <w:r w:rsidRPr="00C2367B">
        <w:rPr>
          <w:rFonts w:ascii="Aptos" w:eastAsia="Times New Roman" w:hAnsi="Aptos" w:cstheme="minorHAnsi"/>
        </w:rPr>
        <w:t xml:space="preserve"> enforce immigration law.</w:t>
      </w:r>
      <w:r w:rsidRPr="00C2367B">
        <w:rPr>
          <w:rFonts w:ascii="Aptos" w:eastAsia="Times New Roman" w:hAnsi="Aptos" w:cstheme="minorHAnsi"/>
          <w:vertAlign w:val="superscript"/>
        </w:rPr>
        <w:t xml:space="preserve"> </w:t>
      </w:r>
      <w:r w:rsidRPr="00C2367B">
        <w:rPr>
          <w:rFonts w:ascii="Aptos" w:eastAsia="Times New Roman" w:hAnsi="Aptos" w:cstheme="minorHAnsi"/>
        </w:rPr>
        <w:t xml:space="preserve"> In contrast, United States Attorneys</w:t>
      </w:r>
      <w:r>
        <w:rPr>
          <w:rFonts w:ascii="Aptos" w:eastAsia="Times New Roman" w:hAnsi="Aptos" w:cstheme="minorHAnsi"/>
        </w:rPr>
        <w:t xml:space="preserve"> prosecute</w:t>
      </w:r>
      <w:r w:rsidRPr="00C2367B">
        <w:rPr>
          <w:rFonts w:ascii="Aptos" w:eastAsia="Times New Roman" w:hAnsi="Aptos" w:cstheme="minorHAnsi"/>
        </w:rPr>
        <w:t xml:space="preserve"> violations of criminal laws related to immigration  in federal district court.</w:t>
      </w:r>
      <w:r w:rsidRPr="00C2367B">
        <w:rPr>
          <w:rStyle w:val="EndnoteReference"/>
          <w:rFonts w:ascii="Aptos" w:eastAsia="Times New Roman" w:hAnsi="Aptos" w:cstheme="minorHAnsi"/>
        </w:rPr>
        <w:endnoteReference w:id="12"/>
      </w:r>
      <w:r w:rsidRPr="00C2367B">
        <w:rPr>
          <w:rFonts w:ascii="Aptos" w:eastAsia="Times New Roman" w:hAnsi="Aptos" w:cstheme="minorHAnsi"/>
        </w:rPr>
        <w:t xml:space="preserve"> Agents of ICE and U.S. Citizenship and Immigration Services (USCIS) may interview your noncitizen client to solicit adverse admissions as part of </w:t>
      </w:r>
      <w:r>
        <w:rPr>
          <w:rFonts w:ascii="Aptos" w:eastAsia="Times New Roman" w:hAnsi="Aptos" w:cstheme="minorHAnsi"/>
        </w:rPr>
        <w:t>an</w:t>
      </w:r>
      <w:r w:rsidRPr="00C2367B">
        <w:rPr>
          <w:rFonts w:ascii="Aptos" w:eastAsia="Times New Roman" w:hAnsi="Aptos" w:cstheme="minorHAnsi"/>
        </w:rPr>
        <w:t xml:space="preserve"> immigration investigation or removal proceeding.</w:t>
      </w:r>
      <w:r w:rsidRPr="00C2367B">
        <w:rPr>
          <w:rStyle w:val="EndnoteReference"/>
          <w:rFonts w:ascii="Aptos" w:eastAsia="Times New Roman" w:hAnsi="Aptos" w:cstheme="minorHAnsi"/>
        </w:rPr>
        <w:endnoteReference w:id="13"/>
      </w:r>
      <w:r w:rsidRPr="00C2367B">
        <w:rPr>
          <w:rFonts w:ascii="Aptos" w:eastAsia="Times New Roman" w:hAnsi="Aptos" w:cstheme="minorHAnsi"/>
        </w:rPr>
        <w:t xml:space="preserve">   Any noncitizen present in Washington State </w:t>
      </w:r>
      <w:r w:rsidRPr="00C2367B">
        <w:rPr>
          <w:rFonts w:ascii="Aptos" w:eastAsia="Times New Roman" w:hAnsi="Aptos" w:cstheme="minorHAnsi"/>
          <w:i/>
        </w:rPr>
        <w:t>without</w:t>
      </w:r>
      <w:r w:rsidRPr="00C2367B">
        <w:rPr>
          <w:rFonts w:ascii="Aptos" w:eastAsia="Times New Roman" w:hAnsi="Aptos" w:cstheme="minorHAnsi"/>
        </w:rPr>
        <w:t xml:space="preserve"> lawful status is subject to deportation </w:t>
      </w:r>
      <w:r w:rsidRPr="00C2367B">
        <w:rPr>
          <w:rFonts w:ascii="Aptos" w:eastAsia="Times New Roman" w:hAnsi="Aptos" w:cstheme="minorHAnsi"/>
          <w:u w:val="single" w:color="000000"/>
        </w:rPr>
        <w:t>at any time</w:t>
      </w:r>
      <w:r w:rsidRPr="002A34A7">
        <w:rPr>
          <w:rFonts w:ascii="Aptos" w:eastAsia="Times New Roman" w:hAnsi="Aptos" w:cstheme="minorHAnsi"/>
        </w:rPr>
        <w:t>,</w:t>
      </w:r>
      <w:r w:rsidRPr="00C2367B">
        <w:rPr>
          <w:rFonts w:ascii="Aptos" w:eastAsia="Times New Roman" w:hAnsi="Aptos" w:cstheme="minorHAnsi"/>
        </w:rPr>
        <w:t xml:space="preserve"> regardless of the existence of a dependency court proceeding.  Do not assume that because a person is abused or a victim of crime and eligible </w:t>
      </w:r>
      <w:r w:rsidRPr="00C2367B">
        <w:rPr>
          <w:rFonts w:ascii="Aptos" w:eastAsia="Times New Roman" w:hAnsi="Aptos" w:cstheme="minorHAnsi"/>
          <w:i/>
        </w:rPr>
        <w:t>to request</w:t>
      </w:r>
      <w:r w:rsidRPr="00C2367B">
        <w:rPr>
          <w:rFonts w:ascii="Aptos" w:eastAsia="Times New Roman" w:hAnsi="Aptos" w:cstheme="minorHAnsi"/>
        </w:rPr>
        <w:t xml:space="preserve"> lawful status, that ICE won’t arrest them or that the Immigration Court won’t order them to be deported.  </w:t>
      </w:r>
    </w:p>
    <w:p w14:paraId="098E1917" w14:textId="77777777" w:rsidR="00DB3DC8" w:rsidRPr="00C2367B" w:rsidRDefault="00DB3DC8" w:rsidP="00DB3DC8">
      <w:pPr>
        <w:spacing w:after="0" w:line="240" w:lineRule="auto"/>
        <w:contextualSpacing/>
        <w:rPr>
          <w:rFonts w:ascii="Aptos" w:hAnsi="Aptos" w:cstheme="minorHAnsi"/>
        </w:rPr>
      </w:pPr>
      <w:r w:rsidRPr="00C2367B">
        <w:rPr>
          <w:rFonts w:ascii="Aptos" w:eastAsia="Times New Roman" w:hAnsi="Aptos" w:cstheme="minorHAnsi"/>
        </w:rPr>
        <w:t xml:space="preserve"> </w:t>
      </w:r>
    </w:p>
    <w:p w14:paraId="2B65471F" w14:textId="77777777" w:rsidR="00DB3DC8" w:rsidRPr="00C2367B" w:rsidRDefault="00DB3DC8" w:rsidP="00DB3DC8">
      <w:pPr>
        <w:spacing w:after="0" w:line="240" w:lineRule="auto"/>
        <w:ind w:left="-5" w:hanging="10"/>
        <w:contextualSpacing/>
        <w:rPr>
          <w:rFonts w:ascii="Aptos" w:hAnsi="Aptos" w:cstheme="minorHAnsi"/>
        </w:rPr>
      </w:pPr>
      <w:r w:rsidRPr="00C2367B">
        <w:rPr>
          <w:rFonts w:ascii="Aptos" w:eastAsia="Times New Roman" w:hAnsi="Aptos" w:cstheme="minorHAnsi"/>
          <w:b/>
        </w:rPr>
        <w:t xml:space="preserve">Consular Notifications in Child Custody (Dependency Court) Proceedings  </w:t>
      </w:r>
    </w:p>
    <w:p w14:paraId="676639D7" w14:textId="511C3E80" w:rsidR="00DB3DC8" w:rsidRPr="00C2367B" w:rsidRDefault="00DB3DC8" w:rsidP="00DB3DC8">
      <w:pPr>
        <w:spacing w:after="0" w:line="240" w:lineRule="auto"/>
        <w:ind w:left="-5" w:right="264" w:hanging="10"/>
        <w:contextualSpacing/>
        <w:rPr>
          <w:rFonts w:ascii="Aptos" w:eastAsia="Times New Roman" w:hAnsi="Aptos" w:cstheme="minorHAnsi"/>
        </w:rPr>
      </w:pPr>
      <w:r w:rsidRPr="00C2367B">
        <w:rPr>
          <w:rFonts w:ascii="Aptos" w:eastAsia="Times New Roman" w:hAnsi="Aptos" w:cstheme="minorHAnsi"/>
        </w:rPr>
        <w:t>The Vienna Convention on Consular Relations requires consular notification when federal or state government agents take certain actions against “foreign nationals”</w:t>
      </w:r>
      <w:r w:rsidRPr="00C2367B">
        <w:rPr>
          <w:rStyle w:val="EndnoteReference"/>
          <w:rFonts w:ascii="Aptos" w:eastAsia="Times New Roman" w:hAnsi="Aptos" w:cstheme="minorHAnsi"/>
        </w:rPr>
        <w:endnoteReference w:id="14"/>
      </w:r>
      <w:r w:rsidRPr="00C2367B">
        <w:rPr>
          <w:rFonts w:ascii="Aptos" w:eastAsia="Times New Roman" w:hAnsi="Aptos" w:cstheme="minorHAnsi"/>
        </w:rPr>
        <w:t xml:space="preserve"> within their (federal or state) borders.</w:t>
      </w:r>
      <w:r>
        <w:rPr>
          <w:rFonts w:ascii="Aptos" w:eastAsia="Times New Roman" w:hAnsi="Aptos" w:cstheme="minorHAnsi"/>
        </w:rPr>
        <w:t xml:space="preserve">  C</w:t>
      </w:r>
      <w:r w:rsidRPr="00C2367B">
        <w:rPr>
          <w:rFonts w:ascii="Aptos" w:eastAsia="Times New Roman" w:hAnsi="Aptos" w:cstheme="minorHAnsi"/>
        </w:rPr>
        <w:t>onsular notification is also required when a “foreign national” child is placed into guardianship.</w:t>
      </w:r>
      <w:r w:rsidRPr="00C2367B">
        <w:rPr>
          <w:rStyle w:val="EndnoteReference"/>
          <w:rFonts w:ascii="Aptos" w:eastAsia="Times New Roman" w:hAnsi="Aptos" w:cstheme="minorHAnsi"/>
        </w:rPr>
        <w:endnoteReference w:id="15"/>
      </w:r>
      <w:r w:rsidRPr="00C2367B">
        <w:rPr>
          <w:rFonts w:ascii="Aptos" w:eastAsia="Times New Roman" w:hAnsi="Aptos" w:cstheme="minorHAnsi"/>
        </w:rPr>
        <w:t xml:space="preserve">  Guardianship means both protective custody initiated by law enforcement and orders placing “foreign national” children in non-parental custody.</w:t>
      </w:r>
      <w:r w:rsidRPr="00C2367B">
        <w:rPr>
          <w:rStyle w:val="EndnoteReference"/>
          <w:rFonts w:ascii="Aptos" w:eastAsia="Times New Roman" w:hAnsi="Aptos" w:cstheme="minorHAnsi"/>
        </w:rPr>
        <w:endnoteReference w:id="16"/>
      </w:r>
      <w:r w:rsidRPr="00C2367B">
        <w:rPr>
          <w:rFonts w:ascii="Aptos" w:eastAsia="Times New Roman" w:hAnsi="Aptos" w:cstheme="minorHAnsi"/>
        </w:rPr>
        <w:t xml:space="preserve">  For some “foreign nationals,” consular notification is mandatory.</w:t>
      </w:r>
      <w:r w:rsidRPr="00C2367B">
        <w:rPr>
          <w:rStyle w:val="EndnoteReference"/>
          <w:rFonts w:ascii="Aptos" w:eastAsia="Times New Roman" w:hAnsi="Aptos" w:cstheme="minorHAnsi"/>
        </w:rPr>
        <w:endnoteReference w:id="17"/>
      </w:r>
      <w:r w:rsidRPr="00C2367B">
        <w:rPr>
          <w:rFonts w:ascii="Aptos" w:eastAsia="Times New Roman" w:hAnsi="Aptos" w:cstheme="minorHAnsi"/>
        </w:rPr>
        <w:t xml:space="preserve">  If the “foreign national” is a lawful permanent resident ( </w:t>
      </w:r>
      <w:r>
        <w:rPr>
          <w:rFonts w:ascii="Aptos" w:eastAsia="Times New Roman" w:hAnsi="Aptos" w:cstheme="minorHAnsi"/>
        </w:rPr>
        <w:t xml:space="preserve">also known as a </w:t>
      </w:r>
      <w:r w:rsidRPr="00C2367B">
        <w:rPr>
          <w:rFonts w:ascii="Aptos" w:eastAsia="Times New Roman" w:hAnsi="Aptos" w:cstheme="minorHAnsi"/>
        </w:rPr>
        <w:t xml:space="preserve">green card holder), </w:t>
      </w:r>
      <w:r>
        <w:rPr>
          <w:rFonts w:ascii="Aptos" w:eastAsia="Times New Roman" w:hAnsi="Aptos" w:cstheme="minorHAnsi"/>
        </w:rPr>
        <w:t>notification is not</w:t>
      </w:r>
      <w:r w:rsidRPr="00C2367B">
        <w:rPr>
          <w:rFonts w:ascii="Aptos" w:eastAsia="Times New Roman" w:hAnsi="Aptos" w:cstheme="minorHAnsi"/>
        </w:rPr>
        <w:t xml:space="preserve"> mandatory</w:t>
      </w:r>
      <w:r>
        <w:rPr>
          <w:rFonts w:ascii="Aptos" w:eastAsia="Times New Roman" w:hAnsi="Aptos" w:cstheme="minorHAnsi"/>
        </w:rPr>
        <w:t xml:space="preserve">, but </w:t>
      </w:r>
      <w:r w:rsidRPr="00C2367B">
        <w:rPr>
          <w:rFonts w:ascii="Aptos" w:eastAsia="Times New Roman" w:hAnsi="Aptos" w:cstheme="minorHAnsi"/>
        </w:rPr>
        <w:t>is required only at the foreign national’s request. Family defenders should assume that law enforcement officers (making arrests, presenting individuals for detention, or placing children in protective custody) and DCYF workers (placing children in state custody pursuant to a dependency court order) are</w:t>
      </w:r>
      <w:r w:rsidRPr="00C2367B">
        <w:rPr>
          <w:rFonts w:ascii="Aptos" w:eastAsia="Times New Roman" w:hAnsi="Aptos" w:cstheme="minorHAnsi"/>
          <w:i/>
        </w:rPr>
        <w:t xml:space="preserve"> </w:t>
      </w:r>
      <w:r w:rsidRPr="00C2367B">
        <w:rPr>
          <w:rFonts w:ascii="Aptos" w:eastAsia="Times New Roman" w:hAnsi="Aptos" w:cstheme="minorHAnsi"/>
        </w:rPr>
        <w:t>mak</w:t>
      </w:r>
      <w:r>
        <w:rPr>
          <w:rFonts w:ascii="Aptos" w:eastAsia="Times New Roman" w:hAnsi="Aptos" w:cstheme="minorHAnsi"/>
        </w:rPr>
        <w:t>ing</w:t>
      </w:r>
      <w:r w:rsidRPr="00C2367B">
        <w:rPr>
          <w:rFonts w:ascii="Aptos" w:eastAsia="Times New Roman" w:hAnsi="Aptos" w:cstheme="minorHAnsi"/>
        </w:rPr>
        <w:t xml:space="preserve"> the necessary consular notifications. Washington State’s Children’s Administration’s policy on consular notification also requires DCYF workers to inquire about nationality and immigration status.</w:t>
      </w:r>
      <w:r w:rsidRPr="00C2367B">
        <w:rPr>
          <w:rStyle w:val="EndnoteReference"/>
          <w:rFonts w:ascii="Aptos" w:eastAsia="Times New Roman" w:hAnsi="Aptos" w:cstheme="minorHAnsi"/>
        </w:rPr>
        <w:endnoteReference w:id="18"/>
      </w:r>
      <w:r w:rsidRPr="00C2367B">
        <w:rPr>
          <w:rFonts w:ascii="Aptos" w:eastAsia="Times New Roman" w:hAnsi="Aptos" w:cstheme="minorHAnsi"/>
        </w:rPr>
        <w:t xml:space="preserve">      </w:t>
      </w:r>
    </w:p>
    <w:p w14:paraId="57C5D52E" w14:textId="77777777" w:rsidR="00DB3DC8" w:rsidRPr="00C2367B" w:rsidRDefault="00DB3DC8" w:rsidP="00DB3DC8">
      <w:pPr>
        <w:spacing w:after="0" w:line="240" w:lineRule="auto"/>
        <w:ind w:left="-5" w:right="264" w:hanging="10"/>
        <w:contextualSpacing/>
        <w:rPr>
          <w:rFonts w:ascii="Aptos" w:hAnsi="Aptos" w:cstheme="minorHAnsi"/>
        </w:rPr>
      </w:pPr>
    </w:p>
    <w:p w14:paraId="5B902B03" w14:textId="77777777" w:rsidR="00DB3DC8" w:rsidRPr="00C2367B" w:rsidRDefault="00DB3DC8" w:rsidP="00DB3DC8">
      <w:pPr>
        <w:spacing w:after="0" w:line="240" w:lineRule="auto"/>
        <w:ind w:left="-5" w:right="264" w:hanging="10"/>
        <w:contextualSpacing/>
        <w:rPr>
          <w:rFonts w:ascii="Aptos" w:hAnsi="Aptos" w:cstheme="minorHAnsi"/>
        </w:rPr>
      </w:pPr>
      <w:r w:rsidRPr="00C2367B">
        <w:rPr>
          <w:rFonts w:ascii="Aptos" w:eastAsia="Times New Roman" w:hAnsi="Aptos" w:cstheme="minorHAnsi"/>
        </w:rPr>
        <w:t>Immigration law advocates rightly have concerns about law enforcement officers and CPS workers collecting and retaining nationality or immigration status data from noncitizens directly, since any knowing and voluntary admission of “alienage”</w:t>
      </w:r>
      <w:r w:rsidRPr="00C2367B">
        <w:rPr>
          <w:rStyle w:val="EndnoteReference"/>
          <w:rFonts w:ascii="Aptos" w:eastAsia="Times New Roman" w:hAnsi="Aptos" w:cstheme="minorHAnsi"/>
        </w:rPr>
        <w:endnoteReference w:id="19"/>
      </w:r>
      <w:r w:rsidRPr="00C2367B">
        <w:rPr>
          <w:rFonts w:ascii="Aptos" w:eastAsia="Times New Roman" w:hAnsi="Aptos" w:cstheme="minorHAnsi"/>
        </w:rPr>
        <w:t xml:space="preserve"> can be used against them in removal proceedings. Attorneys should advise clients that they are not required to disclose their country of citizenship and counsel them about the risks of disclosing </w:t>
      </w:r>
      <w:r>
        <w:rPr>
          <w:rFonts w:ascii="Aptos" w:eastAsia="Times New Roman" w:hAnsi="Aptos" w:cstheme="minorHAnsi"/>
        </w:rPr>
        <w:t xml:space="preserve">that </w:t>
      </w:r>
      <w:r w:rsidRPr="00C2367B">
        <w:rPr>
          <w:rFonts w:ascii="Aptos" w:eastAsia="Times New Roman" w:hAnsi="Aptos" w:cstheme="minorHAnsi"/>
        </w:rPr>
        <w:t>information</w:t>
      </w:r>
      <w:r>
        <w:rPr>
          <w:rFonts w:ascii="Aptos" w:eastAsia="Times New Roman" w:hAnsi="Aptos" w:cstheme="minorHAnsi"/>
        </w:rPr>
        <w:t xml:space="preserve"> so that clients</w:t>
      </w:r>
      <w:r w:rsidRPr="00C2367B">
        <w:rPr>
          <w:rFonts w:ascii="Aptos" w:eastAsia="Times New Roman" w:hAnsi="Aptos" w:cstheme="minorHAnsi"/>
        </w:rPr>
        <w:t xml:space="preserve"> </w:t>
      </w:r>
      <w:r>
        <w:rPr>
          <w:rFonts w:ascii="Aptos" w:eastAsia="Times New Roman" w:hAnsi="Aptos" w:cstheme="minorHAnsi"/>
        </w:rPr>
        <w:t xml:space="preserve">can </w:t>
      </w:r>
      <w:r w:rsidRPr="00C2367B">
        <w:rPr>
          <w:rFonts w:ascii="Aptos" w:eastAsia="Times New Roman" w:hAnsi="Aptos" w:cstheme="minorHAnsi"/>
        </w:rPr>
        <w:t>make informed decision</w:t>
      </w:r>
      <w:r>
        <w:rPr>
          <w:rFonts w:ascii="Aptos" w:eastAsia="Times New Roman" w:hAnsi="Aptos" w:cstheme="minorHAnsi"/>
        </w:rPr>
        <w:t>s</w:t>
      </w:r>
      <w:r w:rsidRPr="00C2367B">
        <w:rPr>
          <w:rFonts w:ascii="Aptos" w:eastAsia="Times New Roman" w:hAnsi="Aptos" w:cstheme="minorHAnsi"/>
        </w:rPr>
        <w:t xml:space="preserve"> about seeking consular services and disclosing citizenship information to DCYF.  </w:t>
      </w:r>
    </w:p>
    <w:p w14:paraId="44CF021C" w14:textId="77777777" w:rsidR="00DB3DC8" w:rsidRPr="00C2367B" w:rsidRDefault="00DB3DC8" w:rsidP="00DB3DC8">
      <w:pPr>
        <w:spacing w:after="0" w:line="240" w:lineRule="auto"/>
        <w:ind w:left="-5" w:right="264" w:hanging="10"/>
        <w:contextualSpacing/>
        <w:rPr>
          <w:rFonts w:ascii="Aptos" w:eastAsia="Times New Roman" w:hAnsi="Aptos" w:cstheme="minorHAnsi"/>
        </w:rPr>
      </w:pPr>
      <w:r w:rsidRPr="00C2367B">
        <w:rPr>
          <w:rFonts w:ascii="Aptos" w:eastAsia="Times New Roman" w:hAnsi="Aptos" w:cstheme="minorHAnsi"/>
        </w:rPr>
        <w:t>The benefit to consular notification is that noncitizens may be entitled to receive consular visits while detained and consular services while their dependency case is pending. Consular services are country dependent.</w:t>
      </w:r>
      <w:r w:rsidRPr="00C2367B">
        <w:rPr>
          <w:rStyle w:val="EndnoteReference"/>
          <w:rFonts w:ascii="Aptos" w:eastAsia="Times New Roman" w:hAnsi="Aptos" w:cstheme="minorHAnsi"/>
        </w:rPr>
        <w:endnoteReference w:id="20"/>
      </w:r>
      <w:r w:rsidRPr="00C2367B">
        <w:rPr>
          <w:rFonts w:ascii="Aptos" w:eastAsia="Times New Roman" w:hAnsi="Aptos" w:cstheme="minorHAnsi"/>
        </w:rPr>
        <w:t xml:space="preserve">  Some basic consular services include, among other things: the provision of replacement </w:t>
      </w:r>
      <w:hyperlink r:id="rId8">
        <w:r w:rsidRPr="00C2367B">
          <w:rPr>
            <w:rFonts w:ascii="Aptos" w:eastAsia="Times New Roman" w:hAnsi="Aptos" w:cstheme="minorHAnsi"/>
          </w:rPr>
          <w:t>travel documents;</w:t>
        </w:r>
      </w:hyperlink>
      <w:r w:rsidRPr="00C2367B">
        <w:rPr>
          <w:rFonts w:ascii="Aptos" w:eastAsia="Times New Roman" w:hAnsi="Aptos" w:cstheme="minorHAnsi"/>
        </w:rPr>
        <w:t xml:space="preserve"> advice and support to victims of serious crime; </w:t>
      </w:r>
      <w:r>
        <w:rPr>
          <w:rFonts w:ascii="Aptos" w:eastAsia="Times New Roman" w:hAnsi="Aptos" w:cstheme="minorHAnsi"/>
        </w:rPr>
        <w:t>provision of</w:t>
      </w:r>
      <w:r w:rsidRPr="00C2367B">
        <w:rPr>
          <w:rFonts w:ascii="Aptos" w:eastAsia="Times New Roman" w:hAnsi="Aptos" w:cstheme="minorHAnsi"/>
        </w:rPr>
        <w:t xml:space="preserve"> visas </w:t>
      </w:r>
      <w:r>
        <w:rPr>
          <w:rFonts w:ascii="Aptos" w:eastAsia="Times New Roman" w:hAnsi="Aptos" w:cstheme="minorHAnsi"/>
        </w:rPr>
        <w:t>to</w:t>
      </w:r>
      <w:r w:rsidRPr="00C2367B">
        <w:rPr>
          <w:rFonts w:ascii="Aptos" w:eastAsia="Times New Roman" w:hAnsi="Aptos" w:cstheme="minorHAnsi"/>
        </w:rPr>
        <w:t xml:space="preserve"> family members;  consular contact with incarcerated nationals; facilitat</w:t>
      </w:r>
      <w:r>
        <w:rPr>
          <w:rFonts w:ascii="Aptos" w:eastAsia="Times New Roman" w:hAnsi="Aptos" w:cstheme="minorHAnsi"/>
        </w:rPr>
        <w:t>ion</w:t>
      </w:r>
      <w:r w:rsidRPr="00C2367B">
        <w:rPr>
          <w:rFonts w:ascii="Aptos" w:eastAsia="Times New Roman" w:hAnsi="Aptos" w:cstheme="minorHAnsi"/>
        </w:rPr>
        <w:t xml:space="preserve"> </w:t>
      </w:r>
      <w:r>
        <w:rPr>
          <w:rFonts w:ascii="Aptos" w:eastAsia="Times New Roman" w:hAnsi="Aptos" w:cstheme="minorHAnsi"/>
        </w:rPr>
        <w:t xml:space="preserve">of </w:t>
      </w:r>
      <w:r w:rsidRPr="00C2367B">
        <w:rPr>
          <w:rFonts w:ascii="Aptos" w:eastAsia="Times New Roman" w:hAnsi="Aptos" w:cstheme="minorHAnsi"/>
        </w:rPr>
        <w:t>the overseas payment of social welfare benefits; registr</w:t>
      </w:r>
      <w:r>
        <w:rPr>
          <w:rFonts w:ascii="Aptos" w:eastAsia="Times New Roman" w:hAnsi="Aptos" w:cstheme="minorHAnsi"/>
        </w:rPr>
        <w:t>ation of</w:t>
      </w:r>
      <w:hyperlink r:id="rId9">
        <w:r w:rsidRPr="00C2367B">
          <w:rPr>
            <w:rFonts w:ascii="Aptos" w:eastAsia="Times New Roman" w:hAnsi="Aptos" w:cstheme="minorHAnsi"/>
          </w:rPr>
          <w:t xml:space="preserve"> citizen </w:t>
        </w:r>
      </w:hyperlink>
      <w:r w:rsidRPr="00C2367B">
        <w:rPr>
          <w:rFonts w:ascii="Aptos" w:eastAsia="Times New Roman" w:hAnsi="Aptos" w:cstheme="minorHAnsi"/>
        </w:rPr>
        <w:t xml:space="preserve">births abroad; and </w:t>
      </w:r>
      <w:r w:rsidRPr="00C2367B">
        <w:rPr>
          <w:rFonts w:ascii="Aptos" w:eastAsia="Times New Roman" w:hAnsi="Aptos" w:cstheme="minorHAnsi"/>
        </w:rPr>
        <w:lastRenderedPageBreak/>
        <w:t>provi</w:t>
      </w:r>
      <w:r>
        <w:rPr>
          <w:rFonts w:ascii="Aptos" w:eastAsia="Times New Roman" w:hAnsi="Aptos" w:cstheme="minorHAnsi"/>
        </w:rPr>
        <w:t xml:space="preserve">sion of </w:t>
      </w:r>
      <w:r w:rsidRPr="00C2367B">
        <w:rPr>
          <w:rFonts w:ascii="Aptos" w:eastAsia="Times New Roman" w:hAnsi="Aptos" w:cstheme="minorHAnsi"/>
        </w:rPr>
        <w:t>a list of local doctors and lawyers.</w:t>
      </w:r>
      <w:r w:rsidRPr="00C2367B">
        <w:rPr>
          <w:rStyle w:val="EndnoteReference"/>
          <w:rFonts w:ascii="Aptos" w:eastAsia="Times New Roman" w:hAnsi="Aptos" w:cstheme="minorHAnsi"/>
        </w:rPr>
        <w:endnoteReference w:id="21"/>
      </w:r>
      <w:r w:rsidRPr="00C2367B">
        <w:rPr>
          <w:rFonts w:ascii="Aptos" w:eastAsia="Times New Roman" w:hAnsi="Aptos" w:cstheme="minorHAnsi"/>
        </w:rPr>
        <w:t xml:space="preserve">  These consular resources might be helpful</w:t>
      </w:r>
      <w:r>
        <w:rPr>
          <w:rFonts w:ascii="Aptos" w:eastAsia="Times New Roman" w:hAnsi="Aptos" w:cstheme="minorHAnsi"/>
        </w:rPr>
        <w:t xml:space="preserve"> since</w:t>
      </w:r>
      <w:r w:rsidRPr="00C2367B">
        <w:rPr>
          <w:rFonts w:ascii="Aptos" w:eastAsia="Times New Roman" w:hAnsi="Aptos" w:cstheme="minorHAnsi"/>
        </w:rPr>
        <w:t xml:space="preserve"> </w:t>
      </w:r>
      <w:r>
        <w:rPr>
          <w:rFonts w:ascii="Aptos" w:eastAsia="Times New Roman" w:hAnsi="Aptos" w:cstheme="minorHAnsi"/>
        </w:rPr>
        <w:t xml:space="preserve">some clients may not be eligible for </w:t>
      </w:r>
      <w:r w:rsidRPr="00C2367B">
        <w:rPr>
          <w:rFonts w:ascii="Aptos" w:eastAsia="Times New Roman" w:hAnsi="Aptos" w:cstheme="minorHAnsi"/>
        </w:rPr>
        <w:t>public benefits.</w:t>
      </w:r>
      <w:r w:rsidRPr="00C2367B">
        <w:rPr>
          <w:rStyle w:val="EndnoteReference"/>
          <w:rFonts w:ascii="Aptos" w:eastAsia="Times New Roman" w:hAnsi="Aptos" w:cstheme="minorHAnsi"/>
        </w:rPr>
        <w:endnoteReference w:id="22"/>
      </w:r>
      <w:r w:rsidRPr="00C2367B">
        <w:rPr>
          <w:rFonts w:ascii="Aptos" w:eastAsia="Times New Roman" w:hAnsi="Aptos" w:cstheme="minorHAnsi"/>
        </w:rPr>
        <w:t xml:space="preserve">   </w:t>
      </w:r>
    </w:p>
    <w:p w14:paraId="5490B4DA" w14:textId="77777777" w:rsidR="00DB3DC8" w:rsidRPr="00C2367B" w:rsidRDefault="00DB3DC8" w:rsidP="00DB3DC8">
      <w:pPr>
        <w:spacing w:after="0" w:line="240" w:lineRule="auto"/>
        <w:ind w:left="-5" w:right="264" w:hanging="10"/>
        <w:contextualSpacing/>
        <w:rPr>
          <w:rFonts w:ascii="Aptos" w:hAnsi="Aptos" w:cstheme="minorHAnsi"/>
        </w:rPr>
      </w:pPr>
    </w:p>
    <w:p w14:paraId="4E76F060" w14:textId="77777777" w:rsidR="00DB3DC8" w:rsidRPr="00C2367B" w:rsidRDefault="00DB3DC8" w:rsidP="00DB3DC8">
      <w:pPr>
        <w:spacing w:after="0" w:line="240" w:lineRule="auto"/>
        <w:ind w:left="-5" w:right="1137" w:hanging="10"/>
        <w:contextualSpacing/>
        <w:rPr>
          <w:rFonts w:ascii="Aptos" w:eastAsia="Times New Roman" w:hAnsi="Aptos" w:cstheme="minorHAnsi"/>
          <w:b/>
        </w:rPr>
      </w:pPr>
      <w:r w:rsidRPr="00C2367B">
        <w:rPr>
          <w:rFonts w:ascii="Aptos" w:eastAsia="Times New Roman" w:hAnsi="Aptos" w:cstheme="minorHAnsi"/>
          <w:b/>
        </w:rPr>
        <w:t xml:space="preserve">Please consider reviewing more practice advisories related to representing noncitizens in dependency actions or contact WDA’s Immigration Project or WDA’s Incarcerated Parents Project for more information at </w:t>
      </w:r>
      <w:r w:rsidRPr="00C2367B">
        <w:rPr>
          <w:rFonts w:ascii="Aptos" w:eastAsia="Times New Roman" w:hAnsi="Aptos" w:cstheme="minorHAnsi"/>
          <w:b/>
          <w:color w:val="0000FF"/>
          <w:u w:val="single" w:color="0000FF"/>
        </w:rPr>
        <w:t>www.defensenet.org</w:t>
      </w:r>
      <w:r w:rsidRPr="00C2367B">
        <w:rPr>
          <w:rFonts w:ascii="Aptos" w:eastAsia="Times New Roman" w:hAnsi="Aptos" w:cstheme="minorHAnsi"/>
          <w:b/>
        </w:rPr>
        <w:t xml:space="preserve">. </w:t>
      </w:r>
    </w:p>
    <w:p w14:paraId="43F08344" w14:textId="77777777" w:rsidR="00DB3DC8" w:rsidRPr="00C2367B" w:rsidRDefault="00DB3DC8" w:rsidP="00DB3DC8">
      <w:pPr>
        <w:spacing w:after="0" w:line="240" w:lineRule="auto"/>
        <w:ind w:left="-5" w:right="1137" w:hanging="10"/>
        <w:contextualSpacing/>
        <w:rPr>
          <w:rFonts w:ascii="Aptos" w:eastAsia="Times New Roman" w:hAnsi="Aptos" w:cstheme="minorHAnsi"/>
          <w:b/>
        </w:rPr>
      </w:pPr>
    </w:p>
    <w:p w14:paraId="7CE8B339" w14:textId="77777777" w:rsidR="00DB3DC8" w:rsidRPr="00C2367B" w:rsidRDefault="00DB3DC8" w:rsidP="00DB3DC8">
      <w:pPr>
        <w:spacing w:after="0" w:line="240" w:lineRule="auto"/>
        <w:ind w:left="-5" w:right="264" w:hanging="10"/>
        <w:contextualSpacing/>
        <w:rPr>
          <w:rFonts w:ascii="Aptos" w:hAnsi="Aptos" w:cstheme="minorHAnsi"/>
          <w:i/>
          <w:iCs/>
        </w:rPr>
      </w:pPr>
      <w:r w:rsidRPr="00C2367B">
        <w:rPr>
          <w:rFonts w:ascii="Aptos" w:eastAsia="Times New Roman" w:hAnsi="Aptos" w:cstheme="minorHAnsi"/>
          <w:i/>
          <w:iCs/>
        </w:rPr>
        <w:t xml:space="preserve">Mitigating Negative Findings for Noncitizens in Dependency Actions (Part II) </w:t>
      </w:r>
    </w:p>
    <w:p w14:paraId="063084A7" w14:textId="77777777" w:rsidR="00DB3DC8" w:rsidRPr="00C2367B" w:rsidRDefault="00DB3DC8" w:rsidP="00DB3DC8">
      <w:pPr>
        <w:spacing w:after="0" w:line="240" w:lineRule="auto"/>
        <w:ind w:left="-5" w:right="264" w:hanging="10"/>
        <w:contextualSpacing/>
        <w:rPr>
          <w:rFonts w:ascii="Aptos" w:hAnsi="Aptos" w:cstheme="minorHAnsi"/>
          <w:i/>
          <w:iCs/>
        </w:rPr>
      </w:pPr>
      <w:r w:rsidRPr="00C2367B">
        <w:rPr>
          <w:rFonts w:ascii="Aptos" w:eastAsia="Times New Roman" w:hAnsi="Aptos" w:cstheme="minorHAnsi"/>
          <w:i/>
          <w:iCs/>
        </w:rPr>
        <w:t xml:space="preserve">Immigration Relief for Noncitizens </w:t>
      </w:r>
      <w:proofErr w:type="gramStart"/>
      <w:r w:rsidRPr="00C2367B">
        <w:rPr>
          <w:rFonts w:ascii="Aptos" w:eastAsia="Times New Roman" w:hAnsi="Aptos" w:cstheme="minorHAnsi"/>
          <w:i/>
          <w:iCs/>
        </w:rPr>
        <w:t>With</w:t>
      </w:r>
      <w:proofErr w:type="gramEnd"/>
      <w:r w:rsidRPr="00C2367B">
        <w:rPr>
          <w:rFonts w:ascii="Aptos" w:eastAsia="Times New Roman" w:hAnsi="Aptos" w:cstheme="minorHAnsi"/>
          <w:i/>
          <w:iCs/>
        </w:rPr>
        <w:t xml:space="preserve"> Dependency Actions (Part III) </w:t>
      </w:r>
    </w:p>
    <w:p w14:paraId="0E5DA05C" w14:textId="77777777" w:rsidR="00DB3DC8" w:rsidRPr="00C2367B" w:rsidRDefault="00DB3DC8" w:rsidP="00DB3DC8">
      <w:pPr>
        <w:spacing w:after="0" w:line="240" w:lineRule="auto"/>
        <w:ind w:left="-5" w:right="264" w:hanging="10"/>
        <w:contextualSpacing/>
        <w:rPr>
          <w:rFonts w:ascii="Aptos" w:eastAsia="Times New Roman" w:hAnsi="Aptos" w:cstheme="minorHAnsi"/>
          <w:i/>
          <w:iCs/>
        </w:rPr>
      </w:pPr>
      <w:r w:rsidRPr="00C2367B">
        <w:rPr>
          <w:rFonts w:ascii="Aptos" w:eastAsia="Times New Roman" w:hAnsi="Aptos" w:cstheme="minorHAnsi"/>
          <w:i/>
          <w:iCs/>
        </w:rPr>
        <w:t xml:space="preserve">Representing Incarcerated or Detained Noncitizens in Dependency Actions (Part IV) </w:t>
      </w:r>
    </w:p>
    <w:p w14:paraId="38DDAAE9" w14:textId="77777777" w:rsidR="00DB3DC8" w:rsidRPr="00C2367B" w:rsidRDefault="00DB3DC8" w:rsidP="00DB3DC8">
      <w:pPr>
        <w:spacing w:after="0" w:line="240" w:lineRule="auto"/>
        <w:ind w:left="-5" w:right="264" w:hanging="10"/>
        <w:contextualSpacing/>
        <w:rPr>
          <w:rFonts w:ascii="Aptos" w:hAnsi="Aptos" w:cstheme="minorHAnsi"/>
          <w:i/>
          <w:iCs/>
        </w:rPr>
      </w:pPr>
    </w:p>
    <w:p w14:paraId="74787EFC" w14:textId="77777777" w:rsidR="00DB3DC8" w:rsidRDefault="00DB3DC8"/>
    <w:sectPr w:rsidR="00DB3DC8" w:rsidSect="00DB3DC8">
      <w:footerReference w:type="default" r:id="rId10"/>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0003" w14:textId="77777777" w:rsidR="00DB3DC8" w:rsidRDefault="00DB3DC8" w:rsidP="00DB3DC8">
      <w:pPr>
        <w:spacing w:after="0" w:line="240" w:lineRule="auto"/>
      </w:pPr>
      <w:r>
        <w:separator/>
      </w:r>
    </w:p>
  </w:endnote>
  <w:endnote w:type="continuationSeparator" w:id="0">
    <w:p w14:paraId="06C72D0B" w14:textId="77777777" w:rsidR="00DB3DC8" w:rsidRDefault="00DB3DC8" w:rsidP="00DB3DC8">
      <w:pPr>
        <w:spacing w:after="0" w:line="240" w:lineRule="auto"/>
      </w:pPr>
      <w:r>
        <w:continuationSeparator/>
      </w:r>
    </w:p>
  </w:endnote>
  <w:endnote w:id="1">
    <w:p w14:paraId="656AA91F" w14:textId="77777777" w:rsidR="00DB3DC8" w:rsidRPr="00CF5921" w:rsidRDefault="00DB3DC8" w:rsidP="00DB3DC8">
      <w:pPr>
        <w:pStyle w:val="EndnoteText"/>
        <w:contextualSpacing/>
        <w:rPr>
          <w:rFonts w:cstheme="minorHAnsi"/>
          <w:sz w:val="22"/>
          <w:szCs w:val="22"/>
        </w:rPr>
      </w:pPr>
      <w:r w:rsidRPr="00CF5921">
        <w:rPr>
          <w:rStyle w:val="EndnoteReference"/>
          <w:rFonts w:cstheme="minorHAnsi"/>
          <w:sz w:val="22"/>
          <w:szCs w:val="22"/>
        </w:rPr>
        <w:endnoteRef/>
      </w:r>
      <w:r w:rsidRPr="00CF5921">
        <w:rPr>
          <w:rFonts w:cstheme="minorHAnsi"/>
          <w:sz w:val="22"/>
          <w:szCs w:val="22"/>
        </w:rPr>
        <w:t xml:space="preserve"> This practice advisory is authored by D’Adre Cunningham, the Washington Defender Association’s Incarcerated Parents Project Attorney, in consultation with WDA’s Immigration Project.  More information and resources </w:t>
      </w:r>
      <w:r>
        <w:rPr>
          <w:rFonts w:cstheme="minorHAnsi"/>
          <w:sz w:val="22"/>
          <w:szCs w:val="22"/>
        </w:rPr>
        <w:t>are</w:t>
      </w:r>
      <w:r w:rsidRPr="00CF5921">
        <w:rPr>
          <w:rFonts w:cstheme="minorHAnsi"/>
          <w:sz w:val="22"/>
          <w:szCs w:val="22"/>
        </w:rPr>
        <w:t xml:space="preserve"> at: </w:t>
      </w:r>
      <w:hyperlink r:id="rId1">
        <w:r w:rsidRPr="00CF5921">
          <w:rPr>
            <w:rFonts w:cstheme="minorHAnsi"/>
            <w:color w:val="0000FF"/>
            <w:sz w:val="22"/>
            <w:szCs w:val="22"/>
            <w:u w:val="single" w:color="0000FF"/>
          </w:rPr>
          <w:t>www.defensenet.org</w:t>
        </w:r>
      </w:hyperlink>
      <w:hyperlink r:id="rId2">
        <w:r w:rsidRPr="00CF5921">
          <w:rPr>
            <w:rFonts w:cstheme="minorHAnsi"/>
            <w:sz w:val="22"/>
            <w:szCs w:val="22"/>
          </w:rPr>
          <w:t xml:space="preserve">. </w:t>
        </w:r>
      </w:hyperlink>
    </w:p>
  </w:endnote>
  <w:endnote w:id="2">
    <w:p w14:paraId="47E708AA"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Family defenders as court appointed counsel are required to provide competent and effective legal representation. </w:t>
      </w:r>
      <w:r w:rsidRPr="00CF5921">
        <w:rPr>
          <w:i/>
          <w:iCs/>
          <w:sz w:val="22"/>
          <w:szCs w:val="22"/>
        </w:rPr>
        <w:t xml:space="preserve">See Citizen v. Clark </w:t>
      </w:r>
      <w:proofErr w:type="spellStart"/>
      <w:r w:rsidRPr="00CF5921">
        <w:rPr>
          <w:i/>
          <w:iCs/>
          <w:sz w:val="22"/>
          <w:szCs w:val="22"/>
        </w:rPr>
        <w:t>Cty</w:t>
      </w:r>
      <w:proofErr w:type="spellEnd"/>
      <w:r w:rsidRPr="00CF5921">
        <w:rPr>
          <w:i/>
          <w:iCs/>
          <w:sz w:val="22"/>
          <w:szCs w:val="22"/>
        </w:rPr>
        <w:t>. Bd. of Comm'rs</w:t>
      </w:r>
      <w:r w:rsidRPr="00CF5921">
        <w:rPr>
          <w:sz w:val="22"/>
          <w:szCs w:val="22"/>
        </w:rPr>
        <w:t xml:space="preserve">, 127 Wn. App. 846, 851-52, 113 P.3d 501, 504 (2005)(constitutional and statutory right to counsel in dependency and termination proceedings includes the right to effective representation); RCW 10.101.005 (“The legislature finds that effective legal representation must be provided for indigent persons and persons who are indigent and able to contribute, consistent with the constitutional requirements of fairness, equal protection, and due process </w:t>
      </w:r>
      <w:r w:rsidRPr="00CF5921">
        <w:rPr>
          <w:i/>
          <w:iCs/>
          <w:sz w:val="22"/>
          <w:szCs w:val="22"/>
        </w:rPr>
        <w:t>in all cases where the right to counsel attaches</w:t>
      </w:r>
      <w:r w:rsidRPr="00CF5921">
        <w:rPr>
          <w:sz w:val="22"/>
          <w:szCs w:val="22"/>
        </w:rPr>
        <w:t>.”)</w:t>
      </w:r>
      <w:r>
        <w:rPr>
          <w:sz w:val="22"/>
          <w:szCs w:val="22"/>
        </w:rPr>
        <w:t xml:space="preserve"> </w:t>
      </w:r>
      <w:r w:rsidRPr="00CF5921">
        <w:rPr>
          <w:sz w:val="22"/>
          <w:szCs w:val="22"/>
        </w:rPr>
        <w:t xml:space="preserve">(emphasis added); </w:t>
      </w:r>
      <w:r w:rsidRPr="00CF5921">
        <w:rPr>
          <w:i/>
          <w:iCs/>
          <w:sz w:val="22"/>
          <w:szCs w:val="22"/>
        </w:rPr>
        <w:t>See also e.g.</w:t>
      </w:r>
      <w:r w:rsidRPr="00CF5921">
        <w:rPr>
          <w:sz w:val="22"/>
          <w:szCs w:val="22"/>
        </w:rPr>
        <w:t xml:space="preserve">, </w:t>
      </w:r>
      <w:r w:rsidRPr="00CF5921">
        <w:rPr>
          <w:i/>
          <w:iCs/>
          <w:sz w:val="22"/>
          <w:szCs w:val="22"/>
        </w:rPr>
        <w:t>City of Seattle v. Ratliff</w:t>
      </w:r>
      <w:r w:rsidRPr="00CF5921">
        <w:rPr>
          <w:sz w:val="22"/>
          <w:szCs w:val="22"/>
        </w:rPr>
        <w:t>, 100 Wn.2d 212, 218, 667 P.2d 630, 633 (1983)</w:t>
      </w:r>
      <w:r>
        <w:rPr>
          <w:sz w:val="22"/>
          <w:szCs w:val="22"/>
        </w:rPr>
        <w:t xml:space="preserve"> </w:t>
      </w:r>
      <w:r w:rsidRPr="00CF5921">
        <w:rPr>
          <w:sz w:val="22"/>
          <w:szCs w:val="22"/>
        </w:rPr>
        <w:t xml:space="preserve">(in criminal cases, </w:t>
      </w:r>
      <w:r>
        <w:rPr>
          <w:sz w:val="22"/>
          <w:szCs w:val="22"/>
        </w:rPr>
        <w:t>a person</w:t>
      </w:r>
      <w:r w:rsidRPr="00CF5921">
        <w:rPr>
          <w:sz w:val="22"/>
          <w:szCs w:val="22"/>
        </w:rPr>
        <w:t xml:space="preserve"> authorized to practice under RPCs </w:t>
      </w:r>
      <w:r>
        <w:rPr>
          <w:sz w:val="22"/>
          <w:szCs w:val="22"/>
        </w:rPr>
        <w:t>is</w:t>
      </w:r>
      <w:r w:rsidRPr="00CF5921">
        <w:rPr>
          <w:sz w:val="22"/>
          <w:szCs w:val="22"/>
        </w:rPr>
        <w:t xml:space="preserve"> only “counsel” for constitutional purposes if they comply with the conditions set forth in the rules).</w:t>
      </w:r>
    </w:p>
  </w:endnote>
  <w:endnote w:id="3">
    <w:p w14:paraId="05444C03"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The term, noncitizen, is used by immigration advocates to describe anyone who is not a U.S. citizen. In international treaties, a noncitizen is labelled a “foreign national,” which is defined as a person who is not a citizen or national of the country in which they are living. The term “national” means “a person owing permanent allegiance to a state.” </w:t>
      </w:r>
      <w:r w:rsidRPr="00CF5921">
        <w:rPr>
          <w:i/>
          <w:iCs/>
          <w:sz w:val="22"/>
          <w:szCs w:val="22"/>
        </w:rPr>
        <w:t>See</w:t>
      </w:r>
      <w:r w:rsidRPr="00CF5921">
        <w:rPr>
          <w:sz w:val="22"/>
          <w:szCs w:val="22"/>
        </w:rPr>
        <w:t xml:space="preserve"> 8 U.S.C. 1101(a)(21). Foreign nationals may or may not have lawful immigration status. </w:t>
      </w:r>
      <w:r w:rsidRPr="00CF5921">
        <w:rPr>
          <w:i/>
          <w:iCs/>
          <w:sz w:val="22"/>
          <w:szCs w:val="22"/>
        </w:rPr>
        <w:t>See</w:t>
      </w:r>
      <w:r w:rsidRPr="00CF5921">
        <w:rPr>
          <w:sz w:val="22"/>
          <w:szCs w:val="22"/>
        </w:rPr>
        <w:t xml:space="preserve"> Definitions, </w:t>
      </w:r>
      <w:hyperlink r:id="rId3" w:history="1">
        <w:r w:rsidRPr="00CF5921">
          <w:rPr>
            <w:rStyle w:val="Hyperlink"/>
            <w:sz w:val="22"/>
            <w:szCs w:val="22"/>
          </w:rPr>
          <w:t>https://travel.state.gov/content/dam/travel/CNAtrainingresources/CNA_Manual_4th_Edition_August2016.pdf</w:t>
        </w:r>
      </w:hyperlink>
      <w:r w:rsidRPr="00CF5921">
        <w:rPr>
          <w:sz w:val="22"/>
          <w:szCs w:val="22"/>
        </w:rPr>
        <w:t xml:space="preserve">. The term “national of the United States” means “(A) a citizen of the United States, or (B) a person who, though not a citizen of the United States, owes permanent allegiance to the United States.” </w:t>
      </w:r>
      <w:r w:rsidRPr="00CF5921">
        <w:rPr>
          <w:i/>
          <w:iCs/>
          <w:sz w:val="22"/>
          <w:szCs w:val="22"/>
        </w:rPr>
        <w:t>See</w:t>
      </w:r>
      <w:r w:rsidRPr="00CF5921">
        <w:rPr>
          <w:sz w:val="22"/>
          <w:szCs w:val="22"/>
        </w:rPr>
        <w:t xml:space="preserve"> 8 USC 1101(a)(22). Examples of U.S. nationals who are not U.S. citizens are persons born either in American Samoa or on Swains Island to parents who are not U.S. citizens. </w:t>
      </w:r>
    </w:p>
  </w:endnote>
  <w:endnote w:id="4">
    <w:p w14:paraId="2824B1EF"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“A stateless person is someone who, under national laws, does not enjoy citizenship – the legal bond between a government and an individual – in any country. Stateless persons can still be detained and ordered deported, but usually will not be subject to physical deportation from the U.S. While some people are de jure or legally stateless persons (meaning they are not recognized as citizens under the laws of any state), many people are de facto or effectively stateless persons (meaning they are not recognized as citizens by any state even if they have a claim to citizenship under the laws of one of more states).” </w:t>
      </w:r>
      <w:r w:rsidRPr="00CF5921">
        <w:rPr>
          <w:i/>
          <w:iCs/>
          <w:sz w:val="22"/>
          <w:szCs w:val="22"/>
        </w:rPr>
        <w:t>See</w:t>
      </w:r>
      <w:r w:rsidRPr="00CF5921">
        <w:rPr>
          <w:sz w:val="22"/>
          <w:szCs w:val="22"/>
        </w:rPr>
        <w:t xml:space="preserve"> Definitions, </w:t>
      </w:r>
      <w:hyperlink r:id="rId4" w:history="1">
        <w:r w:rsidRPr="00CF5921">
          <w:rPr>
            <w:rStyle w:val="Hyperlink"/>
            <w:sz w:val="22"/>
            <w:szCs w:val="22"/>
          </w:rPr>
          <w:t>https://www.state.gov/j/prm/policyissues/issues/c50242.htm</w:t>
        </w:r>
      </w:hyperlink>
      <w:r w:rsidRPr="00CF5921">
        <w:rPr>
          <w:sz w:val="22"/>
          <w:szCs w:val="22"/>
        </w:rPr>
        <w:t xml:space="preserve">. </w:t>
      </w:r>
    </w:p>
  </w:endnote>
  <w:endnote w:id="5">
    <w:p w14:paraId="22CAE30F"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Criminal defense counsel’s failure to correctly advise, or seek consultation to correctly advise, her client about the impact of a criminal conviction on immigration status falls below the standard of “reasonableness under the prevailing professional norms” enunciated in </w:t>
      </w:r>
      <w:r w:rsidRPr="00CF5921">
        <w:rPr>
          <w:i/>
          <w:iCs/>
          <w:sz w:val="22"/>
          <w:szCs w:val="22"/>
        </w:rPr>
        <w:t>Strickland v. Washington</w:t>
      </w:r>
      <w:r w:rsidRPr="00CF5921">
        <w:rPr>
          <w:sz w:val="22"/>
          <w:szCs w:val="22"/>
        </w:rPr>
        <w:t xml:space="preserve">. </w:t>
      </w:r>
      <w:r w:rsidRPr="00CF5921">
        <w:rPr>
          <w:i/>
          <w:iCs/>
          <w:sz w:val="22"/>
          <w:szCs w:val="22"/>
        </w:rPr>
        <w:t>Padilla v. Kentucky</w:t>
      </w:r>
      <w:r w:rsidRPr="00CF5921">
        <w:rPr>
          <w:sz w:val="22"/>
          <w:szCs w:val="22"/>
        </w:rPr>
        <w:t xml:space="preserve">, 559 U.S. 356, 368-69 (2010); </w:t>
      </w:r>
      <w:r w:rsidRPr="00CF5921">
        <w:rPr>
          <w:i/>
          <w:iCs/>
          <w:sz w:val="22"/>
          <w:szCs w:val="22"/>
        </w:rPr>
        <w:t>State v. Sandoval</w:t>
      </w:r>
      <w:r w:rsidRPr="00CF5921">
        <w:rPr>
          <w:sz w:val="22"/>
          <w:szCs w:val="22"/>
        </w:rPr>
        <w:t>, 171 Wn.2d 163, 171-72 (2011).</w:t>
      </w:r>
    </w:p>
  </w:endnote>
  <w:endnote w:id="6">
    <w:p w14:paraId="5C7589FE"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Rule of Professional Conduct 1.1 (Competence); Rule of Professional Conduct 1.2 (a) (Scope of Representation, inter alia); Rule of Professional Conduct 1.3 (Diligence); Rule of Professional Conduct 1.4 (b)(Communication).</w:t>
      </w:r>
    </w:p>
  </w:endnote>
  <w:endnote w:id="7">
    <w:p w14:paraId="243BC36C"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w:t>
      </w:r>
      <w:r w:rsidRPr="00CF5921">
        <w:rPr>
          <w:rFonts w:eastAsia="Times New Roman" w:cstheme="minorHAnsi"/>
          <w:sz w:val="22"/>
          <w:szCs w:val="22"/>
        </w:rPr>
        <w:t xml:space="preserve">WDA’s Immigration Project offers technical case assistance to attorneys seeking immigration consultation regarding collateral immigration consequences.  Please contact WDA’s Immigration Project, </w:t>
      </w:r>
      <w:hyperlink r:id="rId5">
        <w:r w:rsidRPr="00CF5921">
          <w:rPr>
            <w:rFonts w:eastAsia="Times New Roman" w:cstheme="minorHAnsi"/>
            <w:color w:val="0000FF"/>
            <w:sz w:val="22"/>
            <w:szCs w:val="22"/>
            <w:u w:val="single" w:color="0000FF"/>
          </w:rPr>
          <w:t>here</w:t>
        </w:r>
      </w:hyperlink>
      <w:hyperlink r:id="rId6">
        <w:r w:rsidRPr="00CF5921">
          <w:rPr>
            <w:rFonts w:eastAsia="Times New Roman" w:cstheme="minorHAnsi"/>
            <w:sz w:val="22"/>
            <w:szCs w:val="22"/>
          </w:rPr>
          <w:t>.</w:t>
        </w:r>
      </w:hyperlink>
      <w:r w:rsidRPr="00CF5921">
        <w:rPr>
          <w:rFonts w:eastAsia="Times New Roman" w:cstheme="minorHAnsi"/>
          <w:sz w:val="22"/>
          <w:szCs w:val="22"/>
        </w:rPr>
        <w:t xml:space="preserve">  </w:t>
      </w:r>
    </w:p>
  </w:endnote>
  <w:endnote w:id="8">
    <w:p w14:paraId="23C4BA29"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Under federal law, any legal aid or nonprofit legal association</w:t>
      </w:r>
      <w:r>
        <w:rPr>
          <w:sz w:val="22"/>
          <w:szCs w:val="22"/>
        </w:rPr>
        <w:t>s</w:t>
      </w:r>
      <w:r w:rsidRPr="00CF5921">
        <w:rPr>
          <w:sz w:val="22"/>
          <w:szCs w:val="22"/>
        </w:rPr>
        <w:t xml:space="preserve"> receiving Legal Services Corporations funding </w:t>
      </w:r>
      <w:r>
        <w:rPr>
          <w:sz w:val="22"/>
          <w:szCs w:val="22"/>
        </w:rPr>
        <w:t>may not use</w:t>
      </w:r>
      <w:r w:rsidRPr="00CF5921">
        <w:rPr>
          <w:sz w:val="22"/>
          <w:szCs w:val="22"/>
        </w:rPr>
        <w:t xml:space="preserve"> the funds to represent people who are undocumented, or are incarcerated in federal, state, and local prisons (including jails). </w:t>
      </w:r>
      <w:r w:rsidRPr="00CF5921">
        <w:rPr>
          <w:i/>
          <w:iCs/>
          <w:sz w:val="22"/>
          <w:szCs w:val="22"/>
        </w:rPr>
        <w:t xml:space="preserve">See </w:t>
      </w:r>
      <w:r w:rsidRPr="00CF5921">
        <w:rPr>
          <w:sz w:val="22"/>
          <w:szCs w:val="22"/>
        </w:rPr>
        <w:t>45 CFR 1637.1. There are limited exceptions. In 2017, some local jurisdictions in W</w:t>
      </w:r>
      <w:r>
        <w:rPr>
          <w:sz w:val="22"/>
          <w:szCs w:val="22"/>
        </w:rPr>
        <w:t>ashington</w:t>
      </w:r>
      <w:r w:rsidRPr="00CF5921">
        <w:rPr>
          <w:sz w:val="22"/>
          <w:szCs w:val="22"/>
        </w:rPr>
        <w:t xml:space="preserve"> created funding sources to pay for immigration representation for detained residents of their cities or counties. There is a referral list of immigration lawyers on the Washington Defender Association’s Immigration Project website. </w:t>
      </w:r>
      <w:r>
        <w:rPr>
          <w:sz w:val="22"/>
          <w:szCs w:val="22"/>
        </w:rPr>
        <w:t>T</w:t>
      </w:r>
      <w:r w:rsidRPr="00CF5921">
        <w:rPr>
          <w:sz w:val="22"/>
          <w:szCs w:val="22"/>
        </w:rPr>
        <w:t>he only low or no cost legal agency providing comprehensive direct legal immigration representation in Washington is the Northwest Immigrant Rights Project (“NWIRP”).</w:t>
      </w:r>
    </w:p>
  </w:endnote>
  <w:endnote w:id="9">
    <w:p w14:paraId="4D268C03"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w:t>
      </w:r>
      <w:r w:rsidRPr="00CF5921">
        <w:rPr>
          <w:i/>
          <w:iCs/>
          <w:sz w:val="22"/>
          <w:szCs w:val="22"/>
        </w:rPr>
        <w:t xml:space="preserve">See </w:t>
      </w:r>
      <w:r w:rsidRPr="00CF5921">
        <w:rPr>
          <w:sz w:val="22"/>
          <w:szCs w:val="22"/>
        </w:rPr>
        <w:t xml:space="preserve">8 USC 1229a(a)(1). The federal statute on “Removal Proceedings” provides, “[a]n immigration judge shall conduct proceedings for deciding the inadmissibility or deportability of an alien.” </w:t>
      </w:r>
      <w:r w:rsidRPr="00CF5921">
        <w:rPr>
          <w:i/>
          <w:iCs/>
          <w:sz w:val="22"/>
          <w:szCs w:val="22"/>
        </w:rPr>
        <w:t>Id</w:t>
      </w:r>
      <w:r w:rsidRPr="00CF5921">
        <w:rPr>
          <w:sz w:val="22"/>
          <w:szCs w:val="22"/>
        </w:rPr>
        <w:t>.</w:t>
      </w:r>
    </w:p>
  </w:endnote>
  <w:endnote w:id="10">
    <w:p w14:paraId="5AD6361D"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Immigration judges of the Immigration Court are appointed by the Executive Office of Immigration Review (“EOIR”). The Executive Office of Immigration Review (“EOIR”) is an agency housed within the U.S. Department of Justice. Under delegated authority from the Attorney General, EOIR conducts immigration court proceedings, appellate reviews, and administrative hearings.</w:t>
      </w:r>
    </w:p>
  </w:endnote>
  <w:endnote w:id="11">
    <w:p w14:paraId="66E6ED5F"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When Congress created the Department of Homeland Security (“DHS”) in 2003, it broke the Immigration &amp; Naturalization Service (or “INS”), the agency that had been responsible for immigration, naturalization, and deportation, since 1933, into three (3) parts: U.S. Citizenship and Immigration Services (USCIS); U.S. Immigration and Customs Enforcement (ICE); and U.S. Customs and Border Protection (CBP). USCIS is now responsible for the administration of immigration services including permanent residence, naturalization, asylum, and other functions. ICE is now responsible for the investigations, deportation, and intelligence functions of the legacy INS. CBP is now responsible for the border functions of legacy INS. They conduct patrols at and alongside points of entry into the United States (including international train terminals, international ferry terminals, seaports, international bus terminals, and international airports).</w:t>
      </w:r>
    </w:p>
  </w:endnote>
  <w:endnote w:id="12">
    <w:p w14:paraId="442D327F"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Some common examples of criminal immigration, nationality and citizenship offenses include improper entry, 8 U.S.C. §1325(a); illegal re-entry, 8 U.S.C. §1326(a); fraudulent marriage, 8 U.S.C. §1325(c); fraud or misuse of immigration documents, 18 U.S.C. §1546(a); misuse of citizenship papers, 18 U.S.C. §1423; impersonation or misuse of papers in a naturalization proceeding, 18 U.S.C. §1424; unlawful procurement of citizenship, 18 U.S.C. §1425; falsification of naturalization papers, 18 U.S.C. §1426; and unlawful sale of citizenship papers, 18 U.S.C. §1427.</w:t>
      </w:r>
    </w:p>
  </w:endnote>
  <w:endnote w:id="13">
    <w:p w14:paraId="14F71BF0"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Some procedures</w:t>
      </w:r>
      <w:r>
        <w:rPr>
          <w:sz w:val="22"/>
          <w:szCs w:val="22"/>
        </w:rPr>
        <w:t>,</w:t>
      </w:r>
      <w:r w:rsidRPr="00CF5921">
        <w:rPr>
          <w:sz w:val="22"/>
          <w:szCs w:val="22"/>
        </w:rPr>
        <w:t xml:space="preserve"> including interviewing applicants applying for lawful status</w:t>
      </w:r>
      <w:r>
        <w:rPr>
          <w:sz w:val="22"/>
          <w:szCs w:val="22"/>
        </w:rPr>
        <w:t>,</w:t>
      </w:r>
      <w:r w:rsidRPr="00CF5921">
        <w:rPr>
          <w:sz w:val="22"/>
          <w:szCs w:val="22"/>
        </w:rPr>
        <w:t xml:space="preserve"> may be declining in favor of new accelerated review process, but interviews</w:t>
      </w:r>
      <w:r>
        <w:rPr>
          <w:sz w:val="22"/>
          <w:szCs w:val="22"/>
        </w:rPr>
        <w:t xml:space="preserve"> and resulting</w:t>
      </w:r>
      <w:r w:rsidRPr="00CF5921">
        <w:rPr>
          <w:sz w:val="22"/>
          <w:szCs w:val="22"/>
        </w:rPr>
        <w:t xml:space="preserve"> admissions could happen at any time during the dependency court case.</w:t>
      </w:r>
    </w:p>
  </w:endnote>
  <w:endnote w:id="14">
    <w:p w14:paraId="66F78BF2"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“Foreign national” is the legal term used in the international treaty. In this section of the advisory the term can be equated to the term “noncitizen.”</w:t>
      </w:r>
    </w:p>
  </w:endnote>
  <w:endnote w:id="15">
    <w:p w14:paraId="15E882AD"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Vienna Convention on Consular Relations, Article 37 (1)(b), at 16. </w:t>
      </w:r>
      <w:r w:rsidRPr="00CF5921">
        <w:rPr>
          <w:i/>
          <w:iCs/>
          <w:sz w:val="22"/>
          <w:szCs w:val="22"/>
        </w:rPr>
        <w:t>See</w:t>
      </w:r>
      <w:r w:rsidRPr="00CF5921">
        <w:rPr>
          <w:sz w:val="22"/>
          <w:szCs w:val="22"/>
        </w:rPr>
        <w:t xml:space="preserve"> text online at: </w:t>
      </w:r>
      <w:hyperlink r:id="rId7" w:history="1">
        <w:r w:rsidRPr="00CF5921">
          <w:rPr>
            <w:rStyle w:val="Hyperlink"/>
            <w:sz w:val="22"/>
            <w:szCs w:val="22"/>
          </w:rPr>
          <w:t>http://www.fuech.eu/pdf/viennaconvention.pdf</w:t>
        </w:r>
      </w:hyperlink>
      <w:r w:rsidRPr="00CF5921">
        <w:rPr>
          <w:sz w:val="22"/>
          <w:szCs w:val="22"/>
        </w:rPr>
        <w:t xml:space="preserve">. </w:t>
      </w:r>
    </w:p>
  </w:endnote>
  <w:endnote w:id="16">
    <w:p w14:paraId="13E9DD66"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Notification would normally be required in the following situations: (1) A foreign national is taken into protective custody, either an individual or a government agency; (2) A petition to appoint a guardian for a foreign national is filed with a court; or (3) Legal proceedings are initiated in which a foreign national minor is named as a party and the individual’s parent or guardian cannot be located. </w:t>
      </w:r>
      <w:r w:rsidRPr="00CF5921">
        <w:rPr>
          <w:i/>
          <w:iCs/>
          <w:sz w:val="22"/>
          <w:szCs w:val="22"/>
        </w:rPr>
        <w:t xml:space="preserve">See </w:t>
      </w:r>
      <w:r w:rsidRPr="00CF5921">
        <w:rPr>
          <w:sz w:val="22"/>
          <w:szCs w:val="22"/>
        </w:rPr>
        <w:t>Consular Notification &amp; Access Manual, U.S. Department of State publication, Office of the Legal Adviser and Bureau of Consular Affairs, 4th ed., revised August 2016, 10.</w:t>
      </w:r>
    </w:p>
  </w:endnote>
  <w:endnote w:id="17">
    <w:p w14:paraId="0DDF4E86"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w:t>
      </w:r>
      <w:hyperlink r:id="rId8" w:history="1">
        <w:r w:rsidRPr="00CF5921">
          <w:rPr>
            <w:rStyle w:val="Hyperlink"/>
            <w:sz w:val="22"/>
            <w:szCs w:val="22"/>
          </w:rPr>
          <w:t>https://travel.state.gov/content/dam/travel/CNAtrainingresources/CNA_Manual_4th_Edition_August2016.pdf</w:t>
        </w:r>
      </w:hyperlink>
      <w:r w:rsidRPr="00CF5921">
        <w:rPr>
          <w:sz w:val="22"/>
          <w:szCs w:val="22"/>
        </w:rPr>
        <w:t xml:space="preserve">. </w:t>
      </w:r>
    </w:p>
  </w:endnote>
  <w:endnote w:id="18">
    <w:p w14:paraId="4AD4348F"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This policy requires the Dep’t of Children Youth &amp; Families (DCYF) social worker to interview family members about their citizenship status. DCYF Policy and Procedures webpage, No. 4211. </w:t>
      </w:r>
      <w:hyperlink r:id="rId9" w:history="1">
        <w:r w:rsidRPr="00CF5921">
          <w:rPr>
            <w:rStyle w:val="Hyperlink"/>
            <w:sz w:val="22"/>
            <w:szCs w:val="22"/>
          </w:rPr>
          <w:t>https://dcyf.wa.gov/4000-child-welfare-services/4211-notification-foreign-consulates</w:t>
        </w:r>
      </w:hyperlink>
      <w:r w:rsidRPr="00CF5921">
        <w:rPr>
          <w:sz w:val="22"/>
          <w:szCs w:val="22"/>
        </w:rPr>
        <w:t xml:space="preserve">. </w:t>
      </w:r>
    </w:p>
  </w:endnote>
  <w:endnote w:id="19">
    <w:p w14:paraId="49F12F89"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Alienage is the term used in U.S. federal immigration law to describe noncitizens.</w:t>
      </w:r>
    </w:p>
  </w:endnote>
  <w:endnote w:id="20">
    <w:p w14:paraId="44B96F97"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We have compiled a list of the five countries of nationality in Washington State with the largest total number of noncitizens and largest number of </w:t>
      </w:r>
      <w:proofErr w:type="gramStart"/>
      <w:r w:rsidRPr="00CF5921">
        <w:rPr>
          <w:sz w:val="22"/>
          <w:szCs w:val="22"/>
        </w:rPr>
        <w:t>youth</w:t>
      </w:r>
      <w:proofErr w:type="gramEnd"/>
      <w:r w:rsidRPr="00CF5921">
        <w:rPr>
          <w:sz w:val="22"/>
          <w:szCs w:val="22"/>
        </w:rPr>
        <w:t xml:space="preserve"> entering into deportation proceedings in Seattle Immigration Court to provide consular services information.</w:t>
      </w:r>
    </w:p>
  </w:endnote>
  <w:endnote w:id="21">
    <w:p w14:paraId="18FABF03"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Consular assistance does not normally include translation and interpreting services; legal advice or legal advocacy; or negotiating of special treatment, bail, or early release from prison.</w:t>
      </w:r>
    </w:p>
  </w:endnote>
  <w:endnote w:id="22">
    <w:p w14:paraId="667E90AF" w14:textId="77777777" w:rsidR="00DB3DC8" w:rsidRPr="00CF5921" w:rsidRDefault="00DB3DC8" w:rsidP="00DB3DC8">
      <w:pPr>
        <w:pStyle w:val="EndnoteText"/>
        <w:rPr>
          <w:sz w:val="22"/>
          <w:szCs w:val="22"/>
        </w:rPr>
      </w:pPr>
      <w:r w:rsidRPr="00CF5921">
        <w:rPr>
          <w:rStyle w:val="EndnoteReference"/>
          <w:sz w:val="22"/>
          <w:szCs w:val="22"/>
        </w:rPr>
        <w:endnoteRef/>
      </w:r>
      <w:r w:rsidRPr="00CF5921">
        <w:rPr>
          <w:sz w:val="22"/>
          <w:szCs w:val="22"/>
        </w:rPr>
        <w:t xml:space="preserve"> </w:t>
      </w:r>
      <w:r w:rsidRPr="00CF5921">
        <w:rPr>
          <w:i/>
          <w:iCs/>
          <w:sz w:val="22"/>
          <w:szCs w:val="22"/>
        </w:rPr>
        <w:t>See</w:t>
      </w:r>
      <w:r w:rsidRPr="00CF5921">
        <w:rPr>
          <w:sz w:val="22"/>
          <w:szCs w:val="22"/>
        </w:rPr>
        <w:t xml:space="preserve"> discussion below.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871905"/>
      <w:docPartObj>
        <w:docPartGallery w:val="Page Numbers (Bottom of Page)"/>
        <w:docPartUnique/>
      </w:docPartObj>
    </w:sdtPr>
    <w:sdtEndPr>
      <w:rPr>
        <w:b/>
        <w:bCs/>
        <w:noProof/>
      </w:rPr>
    </w:sdtEndPr>
    <w:sdtContent>
      <w:p w14:paraId="20816510" w14:textId="77777777" w:rsidR="00DB3DC8" w:rsidRPr="00A50B09" w:rsidRDefault="00DB3DC8">
        <w:pPr>
          <w:pStyle w:val="Footer"/>
          <w:jc w:val="center"/>
          <w:rPr>
            <w:b/>
            <w:bCs/>
          </w:rPr>
        </w:pPr>
        <w:r w:rsidRPr="00A50B09">
          <w:rPr>
            <w:b/>
            <w:bCs/>
          </w:rPr>
          <w:fldChar w:fldCharType="begin"/>
        </w:r>
        <w:r w:rsidRPr="00A50B09">
          <w:rPr>
            <w:b/>
            <w:bCs/>
          </w:rPr>
          <w:instrText xml:space="preserve"> PAGE   \* MERGEFORMAT </w:instrText>
        </w:r>
        <w:r w:rsidRPr="00A50B09">
          <w:rPr>
            <w:b/>
            <w:bCs/>
          </w:rPr>
          <w:fldChar w:fldCharType="separate"/>
        </w:r>
        <w:r w:rsidRPr="00A50B09">
          <w:rPr>
            <w:b/>
            <w:bCs/>
            <w:noProof/>
          </w:rPr>
          <w:t>2</w:t>
        </w:r>
        <w:r w:rsidRPr="00A50B09">
          <w:rPr>
            <w:b/>
            <w:bCs/>
            <w:noProof/>
          </w:rPr>
          <w:fldChar w:fldCharType="end"/>
        </w:r>
      </w:p>
    </w:sdtContent>
  </w:sdt>
  <w:p w14:paraId="1F0EE856" w14:textId="77777777" w:rsidR="00DB3DC8" w:rsidRDefault="00DB3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818C" w14:textId="77777777" w:rsidR="00DB3DC8" w:rsidRDefault="00DB3DC8" w:rsidP="00DB3DC8">
      <w:pPr>
        <w:spacing w:after="0" w:line="240" w:lineRule="auto"/>
      </w:pPr>
      <w:r>
        <w:separator/>
      </w:r>
    </w:p>
  </w:footnote>
  <w:footnote w:type="continuationSeparator" w:id="0">
    <w:p w14:paraId="7ADA14E3" w14:textId="77777777" w:rsidR="00DB3DC8" w:rsidRDefault="00DB3DC8" w:rsidP="00DB3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76E2"/>
    <w:multiLevelType w:val="hybridMultilevel"/>
    <w:tmpl w:val="3EB6527E"/>
    <w:lvl w:ilvl="0" w:tplc="25BC1E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EB1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1CBA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6BB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F8AE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AED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0ADC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2AEA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3E1F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970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C8"/>
    <w:rsid w:val="00797C63"/>
    <w:rsid w:val="00DB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B960"/>
  <w15:chartTrackingRefBased/>
  <w15:docId w15:val="{3C5DE1FD-5AA2-4A37-9F81-F8A7A8DF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3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C8"/>
    <w:rPr>
      <w:rFonts w:eastAsiaTheme="majorEastAsia" w:cstheme="majorBidi"/>
      <w:color w:val="272727" w:themeColor="text1" w:themeTint="D8"/>
    </w:rPr>
  </w:style>
  <w:style w:type="paragraph" w:styleId="Title">
    <w:name w:val="Title"/>
    <w:basedOn w:val="Normal"/>
    <w:next w:val="Normal"/>
    <w:link w:val="TitleChar"/>
    <w:uiPriority w:val="10"/>
    <w:qFormat/>
    <w:rsid w:val="00DB3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C8"/>
    <w:pPr>
      <w:spacing w:before="160"/>
      <w:jc w:val="center"/>
    </w:pPr>
    <w:rPr>
      <w:i/>
      <w:iCs/>
      <w:color w:val="404040" w:themeColor="text1" w:themeTint="BF"/>
    </w:rPr>
  </w:style>
  <w:style w:type="character" w:customStyle="1" w:styleId="QuoteChar">
    <w:name w:val="Quote Char"/>
    <w:basedOn w:val="DefaultParagraphFont"/>
    <w:link w:val="Quote"/>
    <w:uiPriority w:val="29"/>
    <w:rsid w:val="00DB3DC8"/>
    <w:rPr>
      <w:i/>
      <w:iCs/>
      <w:color w:val="404040" w:themeColor="text1" w:themeTint="BF"/>
    </w:rPr>
  </w:style>
  <w:style w:type="paragraph" w:styleId="ListParagraph">
    <w:name w:val="List Paragraph"/>
    <w:basedOn w:val="Normal"/>
    <w:uiPriority w:val="34"/>
    <w:qFormat/>
    <w:rsid w:val="00DB3DC8"/>
    <w:pPr>
      <w:ind w:left="720"/>
      <w:contextualSpacing/>
    </w:pPr>
  </w:style>
  <w:style w:type="character" w:styleId="IntenseEmphasis">
    <w:name w:val="Intense Emphasis"/>
    <w:basedOn w:val="DefaultParagraphFont"/>
    <w:uiPriority w:val="21"/>
    <w:qFormat/>
    <w:rsid w:val="00DB3DC8"/>
    <w:rPr>
      <w:i/>
      <w:iCs/>
      <w:color w:val="0F4761" w:themeColor="accent1" w:themeShade="BF"/>
    </w:rPr>
  </w:style>
  <w:style w:type="paragraph" w:styleId="IntenseQuote">
    <w:name w:val="Intense Quote"/>
    <w:basedOn w:val="Normal"/>
    <w:next w:val="Normal"/>
    <w:link w:val="IntenseQuoteChar"/>
    <w:uiPriority w:val="30"/>
    <w:qFormat/>
    <w:rsid w:val="00DB3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C8"/>
    <w:rPr>
      <w:i/>
      <w:iCs/>
      <w:color w:val="0F4761" w:themeColor="accent1" w:themeShade="BF"/>
    </w:rPr>
  </w:style>
  <w:style w:type="character" w:styleId="IntenseReference">
    <w:name w:val="Intense Reference"/>
    <w:basedOn w:val="DefaultParagraphFont"/>
    <w:uiPriority w:val="32"/>
    <w:qFormat/>
    <w:rsid w:val="00DB3DC8"/>
    <w:rPr>
      <w:b/>
      <w:bCs/>
      <w:smallCaps/>
      <w:color w:val="0F4761" w:themeColor="accent1" w:themeShade="BF"/>
      <w:spacing w:val="5"/>
    </w:rPr>
  </w:style>
  <w:style w:type="character" w:styleId="Hyperlink">
    <w:name w:val="Hyperlink"/>
    <w:basedOn w:val="DefaultParagraphFont"/>
    <w:uiPriority w:val="99"/>
    <w:unhideWhenUsed/>
    <w:rsid w:val="00DB3DC8"/>
    <w:rPr>
      <w:color w:val="467886" w:themeColor="hyperlink"/>
      <w:u w:val="single"/>
    </w:rPr>
  </w:style>
  <w:style w:type="paragraph" w:styleId="EndnoteText">
    <w:name w:val="endnote text"/>
    <w:basedOn w:val="Normal"/>
    <w:link w:val="EndnoteTextChar"/>
    <w:uiPriority w:val="99"/>
    <w:unhideWhenUsed/>
    <w:rsid w:val="00DB3DC8"/>
    <w:pPr>
      <w:spacing w:after="0" w:line="240" w:lineRule="auto"/>
    </w:pPr>
    <w:rPr>
      <w:sz w:val="20"/>
      <w:szCs w:val="20"/>
    </w:rPr>
  </w:style>
  <w:style w:type="character" w:customStyle="1" w:styleId="EndnoteTextChar">
    <w:name w:val="Endnote Text Char"/>
    <w:basedOn w:val="DefaultParagraphFont"/>
    <w:link w:val="EndnoteText"/>
    <w:uiPriority w:val="99"/>
    <w:rsid w:val="00DB3DC8"/>
    <w:rPr>
      <w:kern w:val="0"/>
      <w:sz w:val="20"/>
      <w:szCs w:val="20"/>
      <w14:ligatures w14:val="none"/>
    </w:rPr>
  </w:style>
  <w:style w:type="character" w:styleId="EndnoteReference">
    <w:name w:val="endnote reference"/>
    <w:basedOn w:val="DefaultParagraphFont"/>
    <w:uiPriority w:val="99"/>
    <w:semiHidden/>
    <w:unhideWhenUsed/>
    <w:rsid w:val="00DB3DC8"/>
    <w:rPr>
      <w:vertAlign w:val="superscript"/>
    </w:rPr>
  </w:style>
  <w:style w:type="paragraph" w:styleId="Footer">
    <w:name w:val="footer"/>
    <w:basedOn w:val="Normal"/>
    <w:link w:val="FooterChar"/>
    <w:uiPriority w:val="99"/>
    <w:unhideWhenUsed/>
    <w:rsid w:val="00DB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C8"/>
    <w:rPr>
      <w:kern w:val="0"/>
      <w:sz w:val="22"/>
      <w:szCs w:val="22"/>
      <w14:ligatures w14:val="none"/>
    </w:rPr>
  </w:style>
  <w:style w:type="character" w:styleId="CommentReference">
    <w:name w:val="annotation reference"/>
    <w:basedOn w:val="DefaultParagraphFont"/>
    <w:uiPriority w:val="99"/>
    <w:semiHidden/>
    <w:unhideWhenUsed/>
    <w:rsid w:val="00DB3DC8"/>
    <w:rPr>
      <w:sz w:val="16"/>
      <w:szCs w:val="16"/>
    </w:rPr>
  </w:style>
  <w:style w:type="paragraph" w:styleId="CommentText">
    <w:name w:val="annotation text"/>
    <w:basedOn w:val="Normal"/>
    <w:link w:val="CommentTextChar"/>
    <w:uiPriority w:val="99"/>
    <w:semiHidden/>
    <w:unhideWhenUsed/>
    <w:rsid w:val="00DB3DC8"/>
    <w:pPr>
      <w:spacing w:line="240" w:lineRule="auto"/>
    </w:pPr>
    <w:rPr>
      <w:sz w:val="20"/>
      <w:szCs w:val="20"/>
    </w:rPr>
  </w:style>
  <w:style w:type="character" w:customStyle="1" w:styleId="CommentTextChar">
    <w:name w:val="Comment Text Char"/>
    <w:basedOn w:val="DefaultParagraphFont"/>
    <w:link w:val="CommentText"/>
    <w:uiPriority w:val="99"/>
    <w:semiHidden/>
    <w:rsid w:val="00DB3DC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ravel_docu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Citizen"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travel.state.gov/content/dam/travel/CNAtrainingresources/CNA_Manual_4th_Edition_August2016.pdf" TargetMode="External"/><Relationship Id="rId3" Type="http://schemas.openxmlformats.org/officeDocument/2006/relationships/hyperlink" Target="https://travel.state.gov/content/dam/travel/CNAtrainingresources/CNA_Manual_4th_Edition_August2016.pdf" TargetMode="External"/><Relationship Id="rId7" Type="http://schemas.openxmlformats.org/officeDocument/2006/relationships/hyperlink" Target="http://www.fuech.eu/pdf/viennaconvention.pdf" TargetMode="External"/><Relationship Id="rId2" Type="http://schemas.openxmlformats.org/officeDocument/2006/relationships/hyperlink" Target="http://www.defensenet.org/" TargetMode="External"/><Relationship Id="rId1" Type="http://schemas.openxmlformats.org/officeDocument/2006/relationships/hyperlink" Target="http://www.defensenet.org/" TargetMode="External"/><Relationship Id="rId6" Type="http://schemas.openxmlformats.org/officeDocument/2006/relationships/hyperlink" Target="http://www.defensenet.org/" TargetMode="External"/><Relationship Id="rId5" Type="http://schemas.openxmlformats.org/officeDocument/2006/relationships/hyperlink" Target="http://www.defensenet.org/" TargetMode="External"/><Relationship Id="rId4" Type="http://schemas.openxmlformats.org/officeDocument/2006/relationships/hyperlink" Target="https://www.state.gov/j/prm/policyissues/issues/c50242.htm" TargetMode="External"/><Relationship Id="rId9" Type="http://schemas.openxmlformats.org/officeDocument/2006/relationships/hyperlink" Target="https://dcyf.wa.gov/4000-child-welfare-services/4211-notification-foreign-consu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1182</Words>
  <Characters>6742</Characters>
  <Application>Microsoft Office Word</Application>
  <DocSecurity>0</DocSecurity>
  <Lines>56</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D'Adre Cunningham</dc:creator>
  <cp:keywords/>
  <dc:description/>
  <cp:lastModifiedBy>D'Adre Cunningham</cp:lastModifiedBy>
  <cp:revision>1</cp:revision>
  <dcterms:created xsi:type="dcterms:W3CDTF">2026-06-18T16:22:00Z</dcterms:created>
  <dcterms:modified xsi:type="dcterms:W3CDTF">2026-06-18T16:24:00Z</dcterms:modified>
</cp:coreProperties>
</file>