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77" w:rsidRDefault="00304099" w:rsidP="003040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CB3EF1" wp14:editId="5F3A6350">
                <wp:simplePos x="0" y="0"/>
                <wp:positionH relativeFrom="margin">
                  <wp:align>center</wp:align>
                </wp:positionH>
                <wp:positionV relativeFrom="paragraph">
                  <wp:posOffset>-86360</wp:posOffset>
                </wp:positionV>
                <wp:extent cx="6203950" cy="42672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54" w:rsidRPr="006F6954" w:rsidRDefault="003931A9" w:rsidP="008B462D">
                            <w:pPr>
                              <w:jc w:val="center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D1A27">
                              <w:rPr>
                                <w:rFonts w:cs="Tahoma"/>
                                <w:b/>
                                <w:color w:val="004F6E"/>
                                <w:sz w:val="24"/>
                                <w:szCs w:val="24"/>
                              </w:rPr>
                              <w:t>PRACTICE ADVISORY</w:t>
                            </w:r>
                            <w:r w:rsidR="006F6954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="00DE5BBB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>5</w:t>
                            </w:r>
                            <w:r w:rsidR="006F6954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>/1</w:t>
                            </w:r>
                            <w:r w:rsidR="00304099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>3</w:t>
                            </w:r>
                            <w:r w:rsidR="006F6954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 xml:space="preserve">/2020 </w:t>
                            </w:r>
                            <w:r w:rsidRPr="002D1A27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>| Cindy Arends Elsberry</w:t>
                            </w:r>
                            <w:r w:rsidR="00CB7580" w:rsidRPr="002D1A27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9EC" w:rsidRPr="002D1A27">
                              <w:rPr>
                                <w:rFonts w:cs="Tahoma"/>
                                <w:color w:val="004F6E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6.8pt;width:488.5pt;height:33.6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" stroked="f">
                <v:textbox>
                  <w:txbxContent>
                    <w:p w:rsidR="006F6954" w:rsidRPr="006F6954" w:rsidRDefault="003931A9" w:rsidP="008B462D">
                      <w:pPr>
                        <w:jc w:val="center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D1A27">
                        <w:rPr>
                          <w:rFonts w:cs="Tahoma"/>
                          <w:b/>
                          <w:color w:val="004F6E"/>
                          <w:sz w:val="24"/>
                          <w:szCs w:val="24"/>
                        </w:rPr>
                        <w:t>PRACTICE ADVISORY</w:t>
                      </w:r>
                      <w:r w:rsidR="006F6954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 xml:space="preserve"> |</w:t>
                      </w:r>
                      <w:r w:rsidR="00DE5BBB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>5</w:t>
                      </w:r>
                      <w:r w:rsidR="006F6954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>/1</w:t>
                      </w:r>
                      <w:r w:rsidR="00304099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>3</w:t>
                      </w:r>
                      <w:r w:rsidR="006F6954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 xml:space="preserve">/2020 </w:t>
                      </w:r>
                      <w:r w:rsidRPr="002D1A27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>| Cindy Arends Elsberry</w:t>
                      </w:r>
                      <w:r w:rsidR="00CB7580" w:rsidRPr="002D1A27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t xml:space="preserve"> </w:t>
                      </w:r>
                      <w:r w:rsidR="006269EC" w:rsidRPr="002D1A27">
                        <w:rPr>
                          <w:rFonts w:cs="Tahoma"/>
                          <w:color w:val="004F6E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6E2FE5" wp14:editId="093044C7">
            <wp:simplePos x="0" y="0"/>
            <wp:positionH relativeFrom="margin">
              <wp:posOffset>1324610</wp:posOffset>
            </wp:positionH>
            <wp:positionV relativeFrom="paragraph">
              <wp:posOffset>-781050</wp:posOffset>
            </wp:positionV>
            <wp:extent cx="3401060" cy="6946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A_logo_4.20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76B173" wp14:editId="20828084">
                <wp:simplePos x="0" y="0"/>
                <wp:positionH relativeFrom="column">
                  <wp:posOffset>-447675</wp:posOffset>
                </wp:positionH>
                <wp:positionV relativeFrom="paragraph">
                  <wp:posOffset>8629650</wp:posOffset>
                </wp:positionV>
                <wp:extent cx="6819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377" w:rsidRPr="00516377" w:rsidRDefault="00516377" w:rsidP="00516377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516377">
                              <w:rPr>
                                <w:rFonts w:cs="Tahoma"/>
                                <w:color w:val="014F6E"/>
                              </w:rPr>
                              <w:t>110 Prefontaine Pl S, Ste 610 Seattle, WA 9810</w:t>
                            </w:r>
                            <w:r w:rsidR="003A17A4">
                              <w:rPr>
                                <w:rFonts w:cs="Tahoma"/>
                                <w:color w:val="014F6E"/>
                              </w:rPr>
                              <w:t>4</w:t>
                            </w:r>
                            <w:r w:rsidRPr="00516377">
                              <w:rPr>
                                <w:rFonts w:cs="Tahoma"/>
                                <w:color w:val="014F6E"/>
                              </w:rPr>
                              <w:t xml:space="preserve"> | Tel: 206-623-4321 | Fax: 206-623-5420 | </w:t>
                            </w:r>
                            <w:r w:rsidRPr="00516377">
                              <w:rPr>
                                <w:rFonts w:cs="Tahoma"/>
                                <w:b/>
                                <w:color w:val="014F6E"/>
                              </w:rPr>
                              <w:t>www.defensenet.org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25pt;margin-top:679.5pt;width:53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xwIwIAACU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" stroked="f">
                <v:textbox style="mso-fit-shape-to-text:t">
                  <w:txbxContent>
                    <w:p w:rsidR="00516377" w:rsidRPr="00516377" w:rsidRDefault="00516377" w:rsidP="00516377">
                      <w:pPr>
                        <w:jc w:val="center"/>
                        <w:rPr>
                          <w:rFonts w:cs="Tahoma"/>
                        </w:rPr>
                      </w:pPr>
                      <w:r w:rsidRPr="00516377">
                        <w:rPr>
                          <w:rFonts w:cs="Tahoma"/>
                          <w:color w:val="014F6E"/>
                        </w:rPr>
                        <w:t>110 Prefontaine Pl S, Ste 610 Seattle, WA 9810</w:t>
                      </w:r>
                      <w:r w:rsidR="003A17A4">
                        <w:rPr>
                          <w:rFonts w:cs="Tahoma"/>
                          <w:color w:val="014F6E"/>
                        </w:rPr>
                        <w:t>4</w:t>
                      </w:r>
                      <w:r w:rsidRPr="00516377">
                        <w:rPr>
                          <w:rFonts w:cs="Tahoma"/>
                          <w:color w:val="014F6E"/>
                        </w:rPr>
                        <w:t xml:space="preserve"> | Tel: 206-623-4321 | Fax: 206-623-5420 | </w:t>
                      </w:r>
                      <w:r w:rsidRPr="00516377">
                        <w:rPr>
                          <w:rFonts w:cs="Tahoma"/>
                          <w:b/>
                          <w:color w:val="014F6E"/>
                        </w:rPr>
                        <w:t>www.defensenet.org</w:t>
                      </w:r>
                    </w:p>
                  </w:txbxContent>
                </v:textbox>
              </v:shape>
            </w:pict>
          </mc:Fallback>
        </mc:AlternateContent>
      </w:r>
    </w:p>
    <w:p w:rsidR="007E7E33" w:rsidRDefault="007E7E33" w:rsidP="007E7E3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03F29">
        <w:rPr>
          <w:b/>
          <w:sz w:val="24"/>
          <w:szCs w:val="24"/>
        </w:rPr>
        <w:t>Prosecutor Has Discretion to Seek Resentencing</w:t>
      </w:r>
      <w:r>
        <w:rPr>
          <w:b/>
          <w:sz w:val="24"/>
          <w:szCs w:val="24"/>
        </w:rPr>
        <w:t xml:space="preserve"> – Effective Date June 11, 2020</w:t>
      </w:r>
    </w:p>
    <w:p w:rsidR="007E7E33" w:rsidRDefault="002112F6" w:rsidP="007E7E33">
      <w:pPr>
        <w:spacing w:line="240" w:lineRule="auto"/>
        <w:contextualSpacing/>
        <w:jc w:val="center"/>
        <w:rPr>
          <w:sz w:val="24"/>
          <w:szCs w:val="24"/>
        </w:rPr>
      </w:pPr>
      <w:r>
        <w:t xml:space="preserve">See </w:t>
      </w:r>
      <w:hyperlink r:id="rId9" w:history="1">
        <w:r w:rsidR="007E7E33" w:rsidRPr="007E7E33">
          <w:rPr>
            <w:rStyle w:val="Hyperlink"/>
            <w:sz w:val="24"/>
            <w:szCs w:val="24"/>
          </w:rPr>
          <w:t>SB 6164</w:t>
        </w:r>
      </w:hyperlink>
      <w:r w:rsidR="007E7E33">
        <w:rPr>
          <w:sz w:val="24"/>
          <w:szCs w:val="24"/>
        </w:rPr>
        <w:t xml:space="preserve"> Amending </w:t>
      </w:r>
      <w:hyperlink r:id="rId10" w:history="1">
        <w:r w:rsidR="007E7E33" w:rsidRPr="007E7E33">
          <w:rPr>
            <w:rStyle w:val="Hyperlink"/>
            <w:sz w:val="24"/>
            <w:szCs w:val="24"/>
          </w:rPr>
          <w:t>RCW 36.27</w:t>
        </w:r>
      </w:hyperlink>
    </w:p>
    <w:p w:rsidR="00E30C9C" w:rsidRDefault="00E30C9C" w:rsidP="007E7E33">
      <w:pPr>
        <w:spacing w:line="240" w:lineRule="auto"/>
        <w:contextualSpacing/>
        <w:jc w:val="center"/>
        <w:rPr>
          <w:sz w:val="24"/>
          <w:szCs w:val="24"/>
        </w:rPr>
      </w:pPr>
    </w:p>
    <w:p w:rsidR="007E7E33" w:rsidRDefault="007E7E33" w:rsidP="007E7E33">
      <w:pPr>
        <w:rPr>
          <w:sz w:val="24"/>
          <w:szCs w:val="24"/>
        </w:rPr>
      </w:pPr>
      <w:r>
        <w:rPr>
          <w:sz w:val="24"/>
          <w:szCs w:val="24"/>
        </w:rPr>
        <w:t xml:space="preserve">In 2020, the Washington Legislature passed SB 6164, creating a new procedure for prosecutors to petition a sentencing court (or the court’s successor) to resentence an individual previously convicted and </w:t>
      </w:r>
      <w:r w:rsidR="00CE4244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sentenced for a felony </w:t>
      </w:r>
      <w:r w:rsidRPr="002112F6">
        <w:rPr>
          <w:b/>
          <w:i/>
          <w:sz w:val="24"/>
          <w:szCs w:val="24"/>
        </w:rPr>
        <w:t>“if the original sentence no longer serves the interests of justice.”</w:t>
      </w:r>
      <w:r>
        <w:rPr>
          <w:sz w:val="24"/>
          <w:szCs w:val="24"/>
        </w:rPr>
        <w:t xml:space="preserve">  The trial court has discretion to grant or deny the petition.</w:t>
      </w:r>
    </w:p>
    <w:p w:rsidR="007E7E33" w:rsidRDefault="007E7E33" w:rsidP="002112F6">
      <w:pPr>
        <w:rPr>
          <w:sz w:val="24"/>
          <w:szCs w:val="24"/>
        </w:rPr>
      </w:pPr>
      <w:r>
        <w:rPr>
          <w:sz w:val="24"/>
          <w:szCs w:val="24"/>
        </w:rPr>
        <w:t>If the court grants the petition, the individual rece</w:t>
      </w:r>
      <w:r w:rsidR="002112F6">
        <w:rPr>
          <w:sz w:val="24"/>
          <w:szCs w:val="24"/>
        </w:rPr>
        <w:t>ives a new sentencing hearing. The court will resentence the individual “as if they have not previously been sentenced.”</w:t>
      </w:r>
      <w:r>
        <w:rPr>
          <w:sz w:val="24"/>
          <w:szCs w:val="24"/>
        </w:rPr>
        <w:t xml:space="preserve"> </w:t>
      </w:r>
      <w:r w:rsidRPr="00C03F29">
        <w:rPr>
          <w:sz w:val="24"/>
          <w:szCs w:val="24"/>
        </w:rPr>
        <w:t>The new sentence cannot be grea</w:t>
      </w:r>
      <w:r>
        <w:rPr>
          <w:sz w:val="24"/>
          <w:szCs w:val="24"/>
        </w:rPr>
        <w:t>ter than</w:t>
      </w:r>
      <w:r w:rsidR="002112F6">
        <w:rPr>
          <w:sz w:val="24"/>
          <w:szCs w:val="24"/>
        </w:rPr>
        <w:t xml:space="preserve"> the original sentence.</w:t>
      </w:r>
    </w:p>
    <w:p w:rsidR="007E7E33" w:rsidRPr="002112F6" w:rsidRDefault="007E7E33" w:rsidP="002112F6">
      <w:pPr>
        <w:rPr>
          <w:sz w:val="24"/>
          <w:szCs w:val="24"/>
        </w:rPr>
      </w:pPr>
      <w:r w:rsidRPr="002112F6">
        <w:rPr>
          <w:sz w:val="24"/>
          <w:szCs w:val="24"/>
        </w:rPr>
        <w:t>The trial court may consider post-conviction factors, including but not limited to:</w:t>
      </w:r>
    </w:p>
    <w:p w:rsidR="007E7E33" w:rsidRPr="00312479" w:rsidRDefault="007E7E33" w:rsidP="00CE4244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312479">
        <w:rPr>
          <w:sz w:val="24"/>
          <w:szCs w:val="24"/>
        </w:rPr>
        <w:t>iscipline and rehabilitation while incarcerated;</w:t>
      </w:r>
    </w:p>
    <w:p w:rsidR="007E7E33" w:rsidRDefault="007E7E33" w:rsidP="00CE4244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that supports that an individual’s age, diminished physical condition (if any), or time served reduces the risk for future violence;</w:t>
      </w:r>
    </w:p>
    <w:p w:rsidR="007E7E33" w:rsidRDefault="007E7E33" w:rsidP="00CE4244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changed circumstances since the original sentencing such that incarceration no longer serves the interests of justice.</w:t>
      </w:r>
    </w:p>
    <w:p w:rsidR="007E7E33" w:rsidRDefault="00360D0A" w:rsidP="007E7E33">
      <w:pPr>
        <w:rPr>
          <w:sz w:val="24"/>
          <w:szCs w:val="24"/>
        </w:rPr>
      </w:pPr>
      <w:r w:rsidRPr="00360D0A">
        <w:rPr>
          <w:sz w:val="24"/>
          <w:szCs w:val="24"/>
        </w:rPr>
        <w:t>There are no limits on the types of offenses eligible.</w:t>
      </w:r>
      <w:r>
        <w:rPr>
          <w:sz w:val="24"/>
          <w:szCs w:val="24"/>
        </w:rPr>
        <w:t xml:space="preserve">  </w:t>
      </w:r>
      <w:r w:rsidR="007E7E33">
        <w:rPr>
          <w:sz w:val="24"/>
          <w:szCs w:val="24"/>
        </w:rPr>
        <w:t xml:space="preserve">This legislation provides </w:t>
      </w:r>
      <w:r w:rsidR="00717F82">
        <w:rPr>
          <w:sz w:val="24"/>
          <w:szCs w:val="24"/>
        </w:rPr>
        <w:t xml:space="preserve">ONLY </w:t>
      </w:r>
      <w:r w:rsidR="007E7E33">
        <w:rPr>
          <w:sz w:val="24"/>
          <w:szCs w:val="24"/>
        </w:rPr>
        <w:t xml:space="preserve">prosecutors with </w:t>
      </w:r>
      <w:r w:rsidR="00717F82">
        <w:rPr>
          <w:sz w:val="24"/>
          <w:szCs w:val="24"/>
        </w:rPr>
        <w:t xml:space="preserve">new legal </w:t>
      </w:r>
      <w:r w:rsidR="007E7E33">
        <w:rPr>
          <w:sz w:val="24"/>
          <w:szCs w:val="24"/>
        </w:rPr>
        <w:t>authority to bring a petition for resentencing in the interest of justice; it does not</w:t>
      </w:r>
      <w:r w:rsidR="00717F82">
        <w:rPr>
          <w:sz w:val="24"/>
          <w:szCs w:val="24"/>
        </w:rPr>
        <w:t xml:space="preserve"> </w:t>
      </w:r>
      <w:r w:rsidR="007E7E33">
        <w:rPr>
          <w:sz w:val="24"/>
          <w:szCs w:val="24"/>
        </w:rPr>
        <w:t xml:space="preserve">create a new process for </w:t>
      </w:r>
      <w:r w:rsidR="00717F82">
        <w:rPr>
          <w:sz w:val="24"/>
          <w:szCs w:val="24"/>
        </w:rPr>
        <w:t>individuals</w:t>
      </w:r>
      <w:r w:rsidR="007E7E33">
        <w:rPr>
          <w:sz w:val="24"/>
          <w:szCs w:val="24"/>
        </w:rPr>
        <w:t xml:space="preserve"> </w:t>
      </w:r>
      <w:r w:rsidR="00717F82">
        <w:rPr>
          <w:sz w:val="24"/>
          <w:szCs w:val="24"/>
        </w:rPr>
        <w:t xml:space="preserve">to </w:t>
      </w:r>
      <w:r w:rsidR="00B85197">
        <w:rPr>
          <w:sz w:val="24"/>
          <w:szCs w:val="24"/>
        </w:rPr>
        <w:t>petition for</w:t>
      </w:r>
      <w:r w:rsidR="00717F82">
        <w:rPr>
          <w:sz w:val="24"/>
          <w:szCs w:val="24"/>
        </w:rPr>
        <w:t xml:space="preserve"> a resentencing hearing and does not address the role of defense counsel in the process leading up to </w:t>
      </w:r>
      <w:r w:rsidR="00B85197">
        <w:rPr>
          <w:sz w:val="24"/>
          <w:szCs w:val="24"/>
        </w:rPr>
        <w:t xml:space="preserve">the prosecutor </w:t>
      </w:r>
      <w:r w:rsidR="00717F82">
        <w:rPr>
          <w:sz w:val="24"/>
          <w:szCs w:val="24"/>
        </w:rPr>
        <w:t>filing a petition.</w:t>
      </w:r>
    </w:p>
    <w:p w:rsidR="007E7E33" w:rsidRDefault="007E7E33" w:rsidP="007E7E33">
      <w:pPr>
        <w:rPr>
          <w:sz w:val="24"/>
          <w:szCs w:val="24"/>
        </w:rPr>
      </w:pPr>
      <w:r>
        <w:rPr>
          <w:sz w:val="24"/>
          <w:szCs w:val="24"/>
        </w:rPr>
        <w:t xml:space="preserve">This legislation </w:t>
      </w:r>
      <w:r w:rsidR="00717F82">
        <w:rPr>
          <w:sz w:val="24"/>
          <w:szCs w:val="24"/>
        </w:rPr>
        <w:t>gives</w:t>
      </w:r>
      <w:r>
        <w:rPr>
          <w:sz w:val="24"/>
          <w:szCs w:val="24"/>
        </w:rPr>
        <w:t xml:space="preserve"> prosecutors and courts </w:t>
      </w:r>
      <w:r w:rsidR="00717F82">
        <w:rPr>
          <w:sz w:val="24"/>
          <w:szCs w:val="24"/>
        </w:rPr>
        <w:t xml:space="preserve">a powerful tool </w:t>
      </w:r>
      <w:r>
        <w:rPr>
          <w:sz w:val="24"/>
          <w:szCs w:val="24"/>
        </w:rPr>
        <w:t>to correct injustice</w:t>
      </w:r>
      <w:r w:rsidR="00B8519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60556">
        <w:rPr>
          <w:sz w:val="24"/>
          <w:szCs w:val="24"/>
        </w:rPr>
        <w:t>and bring older sentences more closely in line with recent changes</w:t>
      </w:r>
      <w:r>
        <w:rPr>
          <w:sz w:val="24"/>
          <w:szCs w:val="24"/>
        </w:rPr>
        <w:t xml:space="preserve"> to sentencing</w:t>
      </w:r>
      <w:r w:rsidR="00B85197">
        <w:rPr>
          <w:sz w:val="24"/>
          <w:szCs w:val="24"/>
        </w:rPr>
        <w:t xml:space="preserve"> practices</w:t>
      </w:r>
      <w:r>
        <w:rPr>
          <w:sz w:val="24"/>
          <w:szCs w:val="24"/>
        </w:rPr>
        <w:t>, including:</w:t>
      </w:r>
    </w:p>
    <w:p w:rsidR="007E7E33" w:rsidRDefault="007E7E33" w:rsidP="00CE42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E43A5">
        <w:rPr>
          <w:sz w:val="24"/>
          <w:szCs w:val="24"/>
        </w:rPr>
        <w:t xml:space="preserve">Robbery in the </w:t>
      </w:r>
      <w:r>
        <w:rPr>
          <w:sz w:val="24"/>
          <w:szCs w:val="24"/>
        </w:rPr>
        <w:t>second degree no longer</w:t>
      </w:r>
      <w:r w:rsidR="00C60556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included in the definition of “most serious offense” (aka</w:t>
      </w:r>
      <w:r w:rsidRPr="000E43A5">
        <w:rPr>
          <w:sz w:val="24"/>
          <w:szCs w:val="24"/>
        </w:rPr>
        <w:t xml:space="preserve"> </w:t>
      </w:r>
      <w:r w:rsidR="00FA5812">
        <w:rPr>
          <w:sz w:val="24"/>
          <w:szCs w:val="24"/>
        </w:rPr>
        <w:t xml:space="preserve">no longer a </w:t>
      </w:r>
      <w:r w:rsidRPr="000E43A5">
        <w:rPr>
          <w:sz w:val="24"/>
          <w:szCs w:val="24"/>
        </w:rPr>
        <w:t>“strike” offense</w:t>
      </w:r>
      <w:r>
        <w:rPr>
          <w:sz w:val="24"/>
          <w:szCs w:val="24"/>
        </w:rPr>
        <w:t>)</w:t>
      </w:r>
      <w:r w:rsidRPr="000E43A5">
        <w:rPr>
          <w:sz w:val="24"/>
          <w:szCs w:val="24"/>
        </w:rPr>
        <w:t xml:space="preserve"> (2019)</w:t>
      </w:r>
      <w:r>
        <w:rPr>
          <w:sz w:val="24"/>
          <w:szCs w:val="24"/>
        </w:rPr>
        <w:t>;</w:t>
      </w:r>
    </w:p>
    <w:p w:rsidR="007E7E33" w:rsidRDefault="007E7E33" w:rsidP="00CE42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separate drug grid</w:t>
      </w:r>
      <w:r w:rsidR="00FA5812">
        <w:rPr>
          <w:sz w:val="24"/>
          <w:szCs w:val="24"/>
        </w:rPr>
        <w:t xml:space="preserve"> introduced</w:t>
      </w:r>
      <w:r>
        <w:rPr>
          <w:sz w:val="24"/>
          <w:szCs w:val="24"/>
        </w:rPr>
        <w:t xml:space="preserve"> in 2002, creating a separate sentencing scheme for drug offenses;</w:t>
      </w:r>
    </w:p>
    <w:p w:rsidR="007E7E33" w:rsidRPr="000E43A5" w:rsidRDefault="00C60556" w:rsidP="00CE42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Recognition of</w:t>
      </w:r>
      <w:r w:rsidR="007E7E33">
        <w:rPr>
          <w:sz w:val="24"/>
          <w:szCs w:val="24"/>
        </w:rPr>
        <w:t xml:space="preserve"> youth/developmental maturity as a mitigating circumstance for a declined youth or young adult sentenced in adult court</w:t>
      </w:r>
      <w:r>
        <w:rPr>
          <w:sz w:val="24"/>
          <w:szCs w:val="24"/>
        </w:rPr>
        <w:t xml:space="preserve"> for a felony</w:t>
      </w:r>
      <w:r w:rsidR="007E7E33">
        <w:rPr>
          <w:sz w:val="24"/>
          <w:szCs w:val="24"/>
        </w:rPr>
        <w:t>.</w:t>
      </w:r>
    </w:p>
    <w:p w:rsidR="00CE4244" w:rsidRPr="00E30C9C" w:rsidRDefault="00C60556" w:rsidP="00CE4244">
      <w:pPr>
        <w:rPr>
          <w:sz w:val="24"/>
          <w:szCs w:val="24"/>
        </w:rPr>
      </w:pPr>
      <w:r>
        <w:rPr>
          <w:sz w:val="24"/>
          <w:szCs w:val="24"/>
        </w:rPr>
        <w:t>The legislation</w:t>
      </w:r>
      <w:r w:rsidR="001446C6">
        <w:rPr>
          <w:sz w:val="24"/>
          <w:szCs w:val="24"/>
        </w:rPr>
        <w:t xml:space="preserve"> also offers prosecutors a chance to support compassionate release for an individual with health issues or </w:t>
      </w:r>
      <w:r w:rsidR="00946889">
        <w:rPr>
          <w:sz w:val="24"/>
          <w:szCs w:val="24"/>
        </w:rPr>
        <w:t xml:space="preserve">to take into account the impact of confinement on the individual or the individual’s family. </w:t>
      </w:r>
      <w:r w:rsidR="00CE4244">
        <w:rPr>
          <w:sz w:val="24"/>
          <w:szCs w:val="24"/>
        </w:rPr>
        <w:t xml:space="preserve">Additionally, resentencing could assist noncitizens to avoid deportation where a reduced sentence could avoid having the conviction trigger deportation grounds. </w:t>
      </w:r>
    </w:p>
    <w:p w:rsidR="000F2740" w:rsidRPr="00E30C9C" w:rsidRDefault="00CE4244" w:rsidP="00E30C9C">
      <w:pPr>
        <w:rPr>
          <w:sz w:val="24"/>
          <w:szCs w:val="24"/>
        </w:rPr>
      </w:pPr>
      <w:r w:rsidRPr="00CE4244">
        <w:rPr>
          <w:sz w:val="24"/>
          <w:szCs w:val="24"/>
        </w:rPr>
        <w:t xml:space="preserve">Courts may question whether they have authority to act based upon </w:t>
      </w:r>
      <w:r w:rsidRPr="00CE4244">
        <w:rPr>
          <w:i/>
          <w:sz w:val="24"/>
          <w:szCs w:val="24"/>
        </w:rPr>
        <w:t>State v. Shove</w:t>
      </w:r>
      <w:r w:rsidRPr="00CE4244">
        <w:rPr>
          <w:sz w:val="24"/>
          <w:szCs w:val="24"/>
        </w:rPr>
        <w:t>, 113 Wn.2d 83, 88, 776 P.2d 132 (1989</w:t>
      </w:r>
      <w:proofErr w:type="gramStart"/>
      <w:r w:rsidRPr="00CE4244">
        <w:rPr>
          <w:sz w:val="24"/>
          <w:szCs w:val="24"/>
        </w:rPr>
        <w:t>)(</w:t>
      </w:r>
      <w:proofErr w:type="gramEnd"/>
      <w:r w:rsidRPr="00CE4244">
        <w:rPr>
          <w:sz w:val="24"/>
          <w:szCs w:val="24"/>
        </w:rPr>
        <w:t>a person may only be released early from a sentence as permitted pursuant to the SRA</w:t>
      </w:r>
      <w:r w:rsidR="00380EAE">
        <w:rPr>
          <w:sz w:val="24"/>
          <w:szCs w:val="24"/>
        </w:rPr>
        <w:t>)</w:t>
      </w:r>
      <w:r w:rsidRPr="00CE4244">
        <w:rPr>
          <w:sz w:val="24"/>
          <w:szCs w:val="24"/>
        </w:rPr>
        <w:t xml:space="preserve">.  Defenders can cite to the purpose of the legislation found in section </w:t>
      </w:r>
      <w:r>
        <w:rPr>
          <w:sz w:val="24"/>
          <w:szCs w:val="24"/>
        </w:rPr>
        <w:t>one</w:t>
      </w:r>
      <w:r w:rsidR="00380EAE">
        <w:rPr>
          <w:sz w:val="24"/>
          <w:szCs w:val="24"/>
        </w:rPr>
        <w:t xml:space="preserve"> </w:t>
      </w:r>
      <w:bookmarkStart w:id="0" w:name="_GoBack"/>
      <w:bookmarkEnd w:id="0"/>
      <w:r w:rsidR="00380EAE">
        <w:rPr>
          <w:sz w:val="24"/>
          <w:szCs w:val="24"/>
        </w:rPr>
        <w:t>(1)</w:t>
      </w:r>
      <w:r>
        <w:rPr>
          <w:sz w:val="24"/>
          <w:szCs w:val="24"/>
        </w:rPr>
        <w:t xml:space="preserve"> of the bill to</w:t>
      </w:r>
      <w:r w:rsidRPr="00CE4244">
        <w:rPr>
          <w:sz w:val="24"/>
          <w:szCs w:val="24"/>
        </w:rPr>
        <w:t xml:space="preserve"> argue that this legislation </w:t>
      </w:r>
      <w:r w:rsidR="00380EAE" w:rsidRPr="00CE4244">
        <w:rPr>
          <w:sz w:val="24"/>
          <w:szCs w:val="24"/>
        </w:rPr>
        <w:t>supersedes</w:t>
      </w:r>
      <w:r w:rsidRPr="00CE4244">
        <w:rPr>
          <w:sz w:val="24"/>
          <w:szCs w:val="24"/>
        </w:rPr>
        <w:t xml:space="preserve"> </w:t>
      </w:r>
      <w:r w:rsidRPr="00CE4244">
        <w:rPr>
          <w:i/>
          <w:sz w:val="24"/>
          <w:szCs w:val="24"/>
        </w:rPr>
        <w:t>Shove</w:t>
      </w:r>
      <w:r w:rsidRPr="00CE4244">
        <w:rPr>
          <w:sz w:val="24"/>
          <w:szCs w:val="24"/>
        </w:rPr>
        <w:t>, granting authority for courts to act</w:t>
      </w:r>
      <w:r>
        <w:rPr>
          <w:sz w:val="24"/>
          <w:szCs w:val="24"/>
        </w:rPr>
        <w:t xml:space="preserve"> on these petitions.</w:t>
      </w:r>
    </w:p>
    <w:sectPr w:rsidR="000F2740" w:rsidRPr="00E30C9C" w:rsidSect="00CE424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A3" w:rsidRDefault="000D5FA3" w:rsidP="00884BAB">
      <w:pPr>
        <w:spacing w:after="0" w:line="240" w:lineRule="auto"/>
      </w:pPr>
      <w:r>
        <w:separator/>
      </w:r>
    </w:p>
  </w:endnote>
  <w:endnote w:type="continuationSeparator" w:id="0">
    <w:p w:rsidR="000D5FA3" w:rsidRDefault="000D5FA3" w:rsidP="008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A3" w:rsidRDefault="000D5FA3" w:rsidP="00884BAB">
      <w:pPr>
        <w:spacing w:after="0" w:line="240" w:lineRule="auto"/>
      </w:pPr>
      <w:r>
        <w:separator/>
      </w:r>
    </w:p>
  </w:footnote>
  <w:footnote w:type="continuationSeparator" w:id="0">
    <w:p w:rsidR="000D5FA3" w:rsidRDefault="000D5FA3" w:rsidP="0088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E56"/>
    <w:multiLevelType w:val="hybridMultilevel"/>
    <w:tmpl w:val="B60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470D"/>
    <w:multiLevelType w:val="hybridMultilevel"/>
    <w:tmpl w:val="FC24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017D8"/>
    <w:multiLevelType w:val="hybridMultilevel"/>
    <w:tmpl w:val="EFB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25B9"/>
    <w:multiLevelType w:val="hybridMultilevel"/>
    <w:tmpl w:val="BFA6C3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2391E"/>
    <w:multiLevelType w:val="hybridMultilevel"/>
    <w:tmpl w:val="0A06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7"/>
    <w:rsid w:val="0004662B"/>
    <w:rsid w:val="00050123"/>
    <w:rsid w:val="0007134C"/>
    <w:rsid w:val="000D33B0"/>
    <w:rsid w:val="000D5FA3"/>
    <w:rsid w:val="000F2740"/>
    <w:rsid w:val="001446C6"/>
    <w:rsid w:val="00171859"/>
    <w:rsid w:val="001E3643"/>
    <w:rsid w:val="002112F6"/>
    <w:rsid w:val="002370FD"/>
    <w:rsid w:val="002C112E"/>
    <w:rsid w:val="002C5165"/>
    <w:rsid w:val="002D1A27"/>
    <w:rsid w:val="002F244A"/>
    <w:rsid w:val="00304099"/>
    <w:rsid w:val="00355569"/>
    <w:rsid w:val="00360D0A"/>
    <w:rsid w:val="00360D28"/>
    <w:rsid w:val="00361C0B"/>
    <w:rsid w:val="00380EAE"/>
    <w:rsid w:val="003931A9"/>
    <w:rsid w:val="003A17A4"/>
    <w:rsid w:val="004C159C"/>
    <w:rsid w:val="00516377"/>
    <w:rsid w:val="00520E39"/>
    <w:rsid w:val="00570BAF"/>
    <w:rsid w:val="00594D99"/>
    <w:rsid w:val="006269EC"/>
    <w:rsid w:val="006803D5"/>
    <w:rsid w:val="006F6954"/>
    <w:rsid w:val="00717F82"/>
    <w:rsid w:val="00733C7F"/>
    <w:rsid w:val="007A68DB"/>
    <w:rsid w:val="007A7F3E"/>
    <w:rsid w:val="007E7E33"/>
    <w:rsid w:val="0083446B"/>
    <w:rsid w:val="00855218"/>
    <w:rsid w:val="00884BAB"/>
    <w:rsid w:val="008B462D"/>
    <w:rsid w:val="008C6189"/>
    <w:rsid w:val="00946889"/>
    <w:rsid w:val="009543E9"/>
    <w:rsid w:val="00A264B1"/>
    <w:rsid w:val="00A4091D"/>
    <w:rsid w:val="00B13160"/>
    <w:rsid w:val="00B85197"/>
    <w:rsid w:val="00C35B69"/>
    <w:rsid w:val="00C60556"/>
    <w:rsid w:val="00CB7580"/>
    <w:rsid w:val="00CC65B3"/>
    <w:rsid w:val="00CE4244"/>
    <w:rsid w:val="00D876E3"/>
    <w:rsid w:val="00DE5BBB"/>
    <w:rsid w:val="00E30C9C"/>
    <w:rsid w:val="00E3275D"/>
    <w:rsid w:val="00FA5812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BA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8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884BAB"/>
    <w:rPr>
      <w:position w:val="8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40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099"/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409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1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BA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8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884BAB"/>
    <w:rPr>
      <w:position w:val="8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40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099"/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409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1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leg.wa.gov/RCW/default.aspx?cite=36.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billsummary?BillNumber=6164&amp;Year=2019&amp;Initiativ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 Arends Elsberry</cp:lastModifiedBy>
  <cp:revision>15</cp:revision>
  <dcterms:created xsi:type="dcterms:W3CDTF">2020-05-13T21:45:00Z</dcterms:created>
  <dcterms:modified xsi:type="dcterms:W3CDTF">2020-05-15T18:40:00Z</dcterms:modified>
</cp:coreProperties>
</file>