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AC32" w14:textId="77777777" w:rsidR="00814CDA" w:rsidRPr="00A24502" w:rsidRDefault="00814CDA" w:rsidP="00C645CA">
      <w:pPr>
        <w:jc w:val="center"/>
        <w:rPr>
          <w:b/>
          <w:bCs/>
          <w:sz w:val="22"/>
          <w:szCs w:val="22"/>
        </w:rPr>
      </w:pPr>
    </w:p>
    <w:p w14:paraId="49AEBAAF" w14:textId="77777777" w:rsidR="00814CDA" w:rsidRPr="00A24502" w:rsidRDefault="00814CDA" w:rsidP="00C645CA">
      <w:pPr>
        <w:jc w:val="center"/>
        <w:rPr>
          <w:b/>
          <w:bCs/>
          <w:sz w:val="22"/>
          <w:szCs w:val="22"/>
        </w:rPr>
      </w:pPr>
    </w:p>
    <w:p w14:paraId="5123F210" w14:textId="733EC23E" w:rsidR="003119F8" w:rsidRPr="00A24502" w:rsidRDefault="003119F8" w:rsidP="00C645CA">
      <w:pPr>
        <w:jc w:val="center"/>
        <w:rPr>
          <w:b/>
          <w:bCs/>
          <w:sz w:val="22"/>
          <w:szCs w:val="22"/>
        </w:rPr>
      </w:pPr>
      <w:r w:rsidRPr="00A24502">
        <w:rPr>
          <w:b/>
          <w:bCs/>
          <w:sz w:val="22"/>
          <w:szCs w:val="22"/>
        </w:rPr>
        <w:t>KEEPING OUT EXTRAJUDICIAL STATEMENTS</w:t>
      </w:r>
    </w:p>
    <w:p w14:paraId="6737C76F" w14:textId="77777777" w:rsidR="00814CDA" w:rsidRPr="00A24502" w:rsidRDefault="00814CDA" w:rsidP="00C645CA">
      <w:pPr>
        <w:jc w:val="center"/>
        <w:rPr>
          <w:b/>
          <w:bCs/>
          <w:sz w:val="22"/>
          <w:szCs w:val="22"/>
        </w:rPr>
      </w:pPr>
    </w:p>
    <w:p w14:paraId="745A97CF" w14:textId="4F3CB6A5" w:rsidR="00CB6E21" w:rsidRPr="00A24502" w:rsidRDefault="00CB6E21" w:rsidP="00C645CA">
      <w:pPr>
        <w:jc w:val="center"/>
        <w:rPr>
          <w:b/>
          <w:bCs/>
          <w:sz w:val="22"/>
          <w:szCs w:val="22"/>
        </w:rPr>
      </w:pPr>
      <w:r w:rsidRPr="00A24502">
        <w:rPr>
          <w:b/>
          <w:bCs/>
          <w:sz w:val="22"/>
          <w:szCs w:val="22"/>
        </w:rPr>
        <w:t>MANIC CONFUSION: RECANTATION OR NON-PARTICIPATION AND PRIOR INCULPATORY STATEMENTS</w:t>
      </w:r>
      <w:r w:rsidR="001852F0" w:rsidRPr="00A24502">
        <w:rPr>
          <w:b/>
          <w:bCs/>
          <w:sz w:val="22"/>
          <w:szCs w:val="22"/>
        </w:rPr>
        <w:t xml:space="preserve"> IN </w:t>
      </w:r>
      <w:r w:rsidR="001852F0" w:rsidRPr="00A24502">
        <w:rPr>
          <w:b/>
          <w:bCs/>
          <w:sz w:val="22"/>
          <w:szCs w:val="22"/>
        </w:rPr>
        <w:t>DOMESTIC VIOLENCE</w:t>
      </w:r>
      <w:r w:rsidR="001852F0" w:rsidRPr="00A24502">
        <w:rPr>
          <w:b/>
          <w:bCs/>
          <w:sz w:val="22"/>
          <w:szCs w:val="22"/>
        </w:rPr>
        <w:t xml:space="preserve"> AND OTHER CRIMINAL CASES</w:t>
      </w:r>
    </w:p>
    <w:p w14:paraId="0885554F" w14:textId="77777777" w:rsidR="00814CDA" w:rsidRPr="00A24502" w:rsidRDefault="00814CDA" w:rsidP="001852F0">
      <w:pPr>
        <w:jc w:val="center"/>
        <w:rPr>
          <w:sz w:val="22"/>
          <w:szCs w:val="22"/>
        </w:rPr>
      </w:pPr>
    </w:p>
    <w:p w14:paraId="48D40392" w14:textId="61EAD1F3" w:rsidR="00CB6E21" w:rsidRPr="00A24502" w:rsidRDefault="001852F0" w:rsidP="001852F0">
      <w:pPr>
        <w:jc w:val="center"/>
        <w:rPr>
          <w:sz w:val="22"/>
          <w:szCs w:val="22"/>
        </w:rPr>
      </w:pPr>
      <w:r w:rsidRPr="00A24502">
        <w:rPr>
          <w:sz w:val="22"/>
          <w:szCs w:val="22"/>
        </w:rPr>
        <w:t>In domestic violence cases, extrajudicial statements often generate legal and strategic chaos for defense attorneys—particularly when alleged victims later claim their initial accounts were the product of intoxication, anger, confusion, or emotional volatility. The result is a shifting narrative landscape where prior inculpatory statements, offered under the guise of reliability, compete with recantation or total non-participation, forcing courts and counsel alike to navigate a thicket of evidentiary conundrums and constitutional pitfalls.</w:t>
      </w:r>
    </w:p>
    <w:p w14:paraId="23B73EC0" w14:textId="77777777" w:rsidR="00963E79" w:rsidRPr="00A24502" w:rsidRDefault="00963E79" w:rsidP="00963E79">
      <w:pPr>
        <w:rPr>
          <w:sz w:val="22"/>
          <w:szCs w:val="22"/>
        </w:rPr>
      </w:pPr>
    </w:p>
    <w:p w14:paraId="7B56DE21" w14:textId="77777777" w:rsidR="00963E79" w:rsidRPr="00A24502" w:rsidRDefault="00963E79" w:rsidP="00963E79">
      <w:pPr>
        <w:rPr>
          <w:sz w:val="22"/>
          <w:szCs w:val="22"/>
        </w:rPr>
      </w:pPr>
    </w:p>
    <w:p w14:paraId="35DE9EB4" w14:textId="77777777" w:rsidR="00963E79" w:rsidRPr="00A24502" w:rsidRDefault="00963E79" w:rsidP="00963E79">
      <w:pPr>
        <w:rPr>
          <w:sz w:val="22"/>
          <w:szCs w:val="22"/>
        </w:rPr>
      </w:pPr>
    </w:p>
    <w:p w14:paraId="6932CAE8" w14:textId="77777777" w:rsidR="00963E79" w:rsidRPr="00A24502" w:rsidRDefault="00963E79" w:rsidP="00963E79">
      <w:pPr>
        <w:rPr>
          <w:sz w:val="22"/>
          <w:szCs w:val="22"/>
        </w:rPr>
      </w:pPr>
    </w:p>
    <w:p w14:paraId="47931855" w14:textId="6D6B0FBB" w:rsidR="00963E79" w:rsidRPr="00A24502" w:rsidRDefault="00963E79" w:rsidP="00963E79">
      <w:pPr>
        <w:spacing w:after="0" w:line="240" w:lineRule="auto"/>
        <w:rPr>
          <w:sz w:val="22"/>
          <w:szCs w:val="22"/>
        </w:rPr>
      </w:pPr>
      <w:r w:rsidRPr="00A24502">
        <w:rPr>
          <w:sz w:val="22"/>
          <w:szCs w:val="22"/>
        </w:rPr>
        <w:t xml:space="preserve">Presented by: </w:t>
      </w:r>
    </w:p>
    <w:p w14:paraId="0CC45E9F" w14:textId="77777777" w:rsidR="00963E79" w:rsidRPr="00A24502" w:rsidRDefault="00963E79" w:rsidP="00963E79">
      <w:pPr>
        <w:spacing w:after="0" w:line="240" w:lineRule="auto"/>
        <w:rPr>
          <w:sz w:val="22"/>
          <w:szCs w:val="22"/>
        </w:rPr>
      </w:pPr>
    </w:p>
    <w:p w14:paraId="49AE418D" w14:textId="338EEA6E" w:rsidR="00963E79" w:rsidRPr="00A24502" w:rsidRDefault="00963E79" w:rsidP="00963E79">
      <w:pPr>
        <w:spacing w:after="0" w:line="240" w:lineRule="auto"/>
        <w:ind w:left="720"/>
        <w:rPr>
          <w:b/>
          <w:bCs/>
          <w:sz w:val="22"/>
          <w:szCs w:val="22"/>
        </w:rPr>
      </w:pPr>
      <w:r w:rsidRPr="00A24502">
        <w:rPr>
          <w:b/>
          <w:bCs/>
          <w:sz w:val="22"/>
          <w:szCs w:val="22"/>
        </w:rPr>
        <w:t>Nicole Dalton</w:t>
      </w:r>
    </w:p>
    <w:p w14:paraId="2F80DDA1" w14:textId="3D68A8F6" w:rsidR="00963E79" w:rsidRPr="00A24502" w:rsidRDefault="00963E79" w:rsidP="00963E79">
      <w:pPr>
        <w:spacing w:after="0" w:line="240" w:lineRule="auto"/>
        <w:ind w:left="720"/>
        <w:rPr>
          <w:sz w:val="22"/>
          <w:szCs w:val="22"/>
        </w:rPr>
      </w:pPr>
      <w:r w:rsidRPr="00A24502">
        <w:rPr>
          <w:sz w:val="22"/>
          <w:szCs w:val="22"/>
        </w:rPr>
        <w:t>Dalton Law Office, PLLC</w:t>
      </w:r>
    </w:p>
    <w:p w14:paraId="3017CAB6" w14:textId="1B84B53F" w:rsidR="00963E79" w:rsidRPr="00A24502" w:rsidRDefault="00963E79" w:rsidP="00963E79">
      <w:pPr>
        <w:spacing w:after="0" w:line="240" w:lineRule="auto"/>
        <w:ind w:left="720"/>
        <w:rPr>
          <w:sz w:val="22"/>
          <w:szCs w:val="22"/>
          <w:lang w:val="es-419"/>
        </w:rPr>
      </w:pPr>
      <w:r w:rsidRPr="00A24502">
        <w:rPr>
          <w:sz w:val="22"/>
          <w:szCs w:val="22"/>
          <w:lang w:val="es-419"/>
        </w:rPr>
        <w:t xml:space="preserve">2904 </w:t>
      </w:r>
      <w:proofErr w:type="spellStart"/>
      <w:r w:rsidRPr="00A24502">
        <w:rPr>
          <w:sz w:val="22"/>
          <w:szCs w:val="22"/>
          <w:lang w:val="es-419"/>
        </w:rPr>
        <w:t>Main</w:t>
      </w:r>
      <w:proofErr w:type="spellEnd"/>
      <w:r w:rsidRPr="00A24502">
        <w:rPr>
          <w:sz w:val="22"/>
          <w:szCs w:val="22"/>
          <w:lang w:val="es-419"/>
        </w:rPr>
        <w:t xml:space="preserve"> Street</w:t>
      </w:r>
    </w:p>
    <w:p w14:paraId="5E02D36B" w14:textId="51CDD667" w:rsidR="00963E79" w:rsidRPr="00A24502" w:rsidRDefault="00963E79" w:rsidP="00963E79">
      <w:pPr>
        <w:spacing w:after="0" w:line="240" w:lineRule="auto"/>
        <w:ind w:left="720"/>
        <w:rPr>
          <w:sz w:val="22"/>
          <w:szCs w:val="22"/>
          <w:lang w:val="es-419"/>
        </w:rPr>
      </w:pPr>
      <w:r w:rsidRPr="00A24502">
        <w:rPr>
          <w:sz w:val="22"/>
          <w:szCs w:val="22"/>
          <w:lang w:val="es-419"/>
        </w:rPr>
        <w:t>Vancouver, WA   98663</w:t>
      </w:r>
    </w:p>
    <w:p w14:paraId="054C63F1" w14:textId="7AEF42E6" w:rsidR="00963E79" w:rsidRPr="00A24502" w:rsidRDefault="00963E79" w:rsidP="00963E79">
      <w:pPr>
        <w:spacing w:after="0" w:line="240" w:lineRule="auto"/>
        <w:ind w:left="720"/>
        <w:rPr>
          <w:sz w:val="22"/>
          <w:szCs w:val="22"/>
          <w:lang w:val="es-419"/>
        </w:rPr>
      </w:pPr>
      <w:proofErr w:type="spellStart"/>
      <w:r w:rsidRPr="00A24502">
        <w:rPr>
          <w:sz w:val="22"/>
          <w:szCs w:val="22"/>
          <w:lang w:val="es-419"/>
        </w:rPr>
        <w:t>Phone</w:t>
      </w:r>
      <w:proofErr w:type="spellEnd"/>
      <w:r w:rsidRPr="00A24502">
        <w:rPr>
          <w:sz w:val="22"/>
          <w:szCs w:val="22"/>
          <w:lang w:val="es-419"/>
        </w:rPr>
        <w:t>: 360-213-0013</w:t>
      </w:r>
    </w:p>
    <w:p w14:paraId="6D763EEE" w14:textId="2AB6F44F" w:rsidR="00963E79" w:rsidRPr="00A24502" w:rsidRDefault="00963E79" w:rsidP="00963E79">
      <w:pPr>
        <w:spacing w:after="0" w:line="240" w:lineRule="auto"/>
        <w:ind w:left="720"/>
        <w:rPr>
          <w:sz w:val="22"/>
          <w:szCs w:val="22"/>
          <w:lang w:val="es-419"/>
        </w:rPr>
      </w:pPr>
      <w:hyperlink r:id="rId8" w:history="1">
        <w:r w:rsidRPr="00A24502">
          <w:rPr>
            <w:rStyle w:val="Hyperlink"/>
            <w:sz w:val="22"/>
            <w:szCs w:val="22"/>
            <w:lang w:val="es-419"/>
          </w:rPr>
          <w:t>www.daltonlawoffice.net</w:t>
        </w:r>
      </w:hyperlink>
    </w:p>
    <w:p w14:paraId="06CA79E3" w14:textId="77777777" w:rsidR="00963E79" w:rsidRPr="00A24502" w:rsidRDefault="00963E79" w:rsidP="00963E79">
      <w:pPr>
        <w:spacing w:after="0" w:line="240" w:lineRule="auto"/>
        <w:ind w:left="720"/>
        <w:rPr>
          <w:sz w:val="22"/>
          <w:szCs w:val="22"/>
          <w:lang w:val="es-419"/>
        </w:rPr>
      </w:pPr>
    </w:p>
    <w:p w14:paraId="13F599E4" w14:textId="77777777" w:rsidR="00963E79" w:rsidRPr="00A24502" w:rsidRDefault="00963E79" w:rsidP="00963E79">
      <w:pPr>
        <w:spacing w:after="0" w:line="240" w:lineRule="auto"/>
        <w:rPr>
          <w:sz w:val="22"/>
          <w:szCs w:val="22"/>
        </w:rPr>
      </w:pPr>
    </w:p>
    <w:p w14:paraId="4BF34162" w14:textId="515DBBAC" w:rsidR="00963E79" w:rsidRPr="00A24502" w:rsidRDefault="00963E79" w:rsidP="00963E79">
      <w:pPr>
        <w:spacing w:after="0" w:line="240" w:lineRule="auto"/>
        <w:rPr>
          <w:sz w:val="22"/>
          <w:szCs w:val="22"/>
        </w:rPr>
      </w:pPr>
      <w:r w:rsidRPr="00A24502">
        <w:rPr>
          <w:sz w:val="22"/>
          <w:szCs w:val="22"/>
        </w:rPr>
        <w:t>WDA CONFERENCE</w:t>
      </w:r>
    </w:p>
    <w:p w14:paraId="3AEF557D" w14:textId="0AAF72A8" w:rsidR="00963E79" w:rsidRPr="00A24502" w:rsidRDefault="00963E79" w:rsidP="00963E79">
      <w:pPr>
        <w:spacing w:after="0" w:line="240" w:lineRule="auto"/>
        <w:rPr>
          <w:sz w:val="22"/>
          <w:szCs w:val="22"/>
        </w:rPr>
      </w:pPr>
      <w:r w:rsidRPr="00A24502">
        <w:rPr>
          <w:sz w:val="22"/>
          <w:szCs w:val="22"/>
        </w:rPr>
        <w:t xml:space="preserve">APRIL 29, 2025  </w:t>
      </w:r>
    </w:p>
    <w:p w14:paraId="4E201F9F" w14:textId="68630CCF" w:rsidR="00963E79" w:rsidRPr="00A24502" w:rsidRDefault="00963E79" w:rsidP="00963E79">
      <w:pPr>
        <w:spacing w:after="0" w:line="240" w:lineRule="auto"/>
        <w:rPr>
          <w:sz w:val="22"/>
          <w:szCs w:val="22"/>
        </w:rPr>
      </w:pPr>
      <w:r w:rsidRPr="00A24502">
        <w:rPr>
          <w:sz w:val="22"/>
          <w:szCs w:val="22"/>
        </w:rPr>
        <w:t>Winthrop, Washington</w:t>
      </w:r>
    </w:p>
    <w:p w14:paraId="0C5F9599" w14:textId="77777777" w:rsidR="00963E79" w:rsidRPr="00A24502" w:rsidRDefault="00963E79" w:rsidP="001852F0">
      <w:pPr>
        <w:jc w:val="center"/>
        <w:rPr>
          <w:sz w:val="22"/>
          <w:szCs w:val="22"/>
        </w:rPr>
      </w:pPr>
    </w:p>
    <w:p w14:paraId="149D9545" w14:textId="1082A715" w:rsidR="00963E79" w:rsidRPr="00A24502" w:rsidRDefault="00963E79" w:rsidP="001852F0">
      <w:pPr>
        <w:jc w:val="center"/>
        <w:rPr>
          <w:b/>
          <w:bCs/>
          <w:sz w:val="22"/>
          <w:szCs w:val="22"/>
          <w:u w:val="single"/>
        </w:rPr>
      </w:pPr>
      <w:r w:rsidRPr="00A24502">
        <w:rPr>
          <w:b/>
          <w:bCs/>
          <w:sz w:val="22"/>
          <w:szCs w:val="22"/>
          <w:u w:val="single"/>
        </w:rPr>
        <w:t>CONTENTS</w:t>
      </w:r>
    </w:p>
    <w:p w14:paraId="0FA61173" w14:textId="77777777" w:rsidR="00963E79" w:rsidRPr="00A24502" w:rsidRDefault="00963E79" w:rsidP="001852F0">
      <w:pPr>
        <w:jc w:val="center"/>
        <w:rPr>
          <w:sz w:val="22"/>
          <w:szCs w:val="22"/>
        </w:rPr>
      </w:pPr>
    </w:p>
    <w:sdt>
      <w:sdtPr>
        <w:rPr>
          <w:sz w:val="22"/>
          <w:szCs w:val="22"/>
        </w:rPr>
        <w:id w:val="-2015987226"/>
        <w:docPartObj>
          <w:docPartGallery w:val="Table of Contents"/>
          <w:docPartUnique/>
        </w:docPartObj>
      </w:sdtPr>
      <w:sdtEndPr>
        <w:rPr>
          <w:noProof/>
        </w:rPr>
      </w:sdtEndPr>
      <w:sdtContent>
        <w:p w14:paraId="226CB7D5" w14:textId="4D5BD52F" w:rsidR="004308D0" w:rsidRPr="00A24502" w:rsidRDefault="00963E79">
          <w:pPr>
            <w:pStyle w:val="TOC1"/>
            <w:tabs>
              <w:tab w:val="left" w:pos="480"/>
              <w:tab w:val="right" w:leader="dot" w:pos="9350"/>
            </w:tabs>
            <w:rPr>
              <w:rFonts w:eastAsiaTheme="minorEastAsia"/>
              <w:noProof/>
              <w:sz w:val="22"/>
              <w:szCs w:val="22"/>
            </w:rPr>
          </w:pPr>
          <w:r w:rsidRPr="00A24502">
            <w:rPr>
              <w:sz w:val="22"/>
              <w:szCs w:val="22"/>
            </w:rPr>
            <w:fldChar w:fldCharType="begin"/>
          </w:r>
          <w:r w:rsidRPr="00A24502">
            <w:rPr>
              <w:sz w:val="22"/>
              <w:szCs w:val="22"/>
            </w:rPr>
            <w:instrText xml:space="preserve"> TOC \o "1-3" \h \z \u </w:instrText>
          </w:r>
          <w:r w:rsidRPr="00A24502">
            <w:rPr>
              <w:sz w:val="22"/>
              <w:szCs w:val="22"/>
            </w:rPr>
            <w:fldChar w:fldCharType="separate"/>
          </w:r>
          <w:hyperlink w:anchor="_Toc196247718" w:history="1">
            <w:r w:rsidR="004308D0" w:rsidRPr="00A24502">
              <w:rPr>
                <w:rStyle w:val="Hyperlink"/>
                <w:noProof/>
                <w:sz w:val="22"/>
                <w:szCs w:val="22"/>
              </w:rPr>
              <w:t>I.</w:t>
            </w:r>
            <w:r w:rsidR="004308D0" w:rsidRPr="00A24502">
              <w:rPr>
                <w:rFonts w:eastAsiaTheme="minorEastAsia"/>
                <w:noProof/>
                <w:sz w:val="22"/>
                <w:szCs w:val="22"/>
              </w:rPr>
              <w:tab/>
            </w:r>
            <w:r w:rsidR="004308D0" w:rsidRPr="00A24502">
              <w:rPr>
                <w:rStyle w:val="Hyperlink"/>
                <w:noProof/>
                <w:sz w:val="22"/>
                <w:szCs w:val="22"/>
              </w:rPr>
              <w:t>INTRODUCTION: WHAT EVER HAPPENED TO THE TRUTH?</w:t>
            </w:r>
            <w:r w:rsidR="004308D0" w:rsidRPr="00A24502">
              <w:rPr>
                <w:noProof/>
                <w:webHidden/>
                <w:sz w:val="22"/>
                <w:szCs w:val="22"/>
              </w:rPr>
              <w:tab/>
            </w:r>
            <w:r w:rsidR="004308D0" w:rsidRPr="00A24502">
              <w:rPr>
                <w:noProof/>
                <w:webHidden/>
                <w:sz w:val="22"/>
                <w:szCs w:val="22"/>
              </w:rPr>
              <w:fldChar w:fldCharType="begin"/>
            </w:r>
            <w:r w:rsidR="004308D0" w:rsidRPr="00A24502">
              <w:rPr>
                <w:noProof/>
                <w:webHidden/>
                <w:sz w:val="22"/>
                <w:szCs w:val="22"/>
              </w:rPr>
              <w:instrText xml:space="preserve"> PAGEREF _Toc196247718 \h </w:instrText>
            </w:r>
            <w:r w:rsidR="004308D0" w:rsidRPr="00A24502">
              <w:rPr>
                <w:noProof/>
                <w:webHidden/>
                <w:sz w:val="22"/>
                <w:szCs w:val="22"/>
              </w:rPr>
            </w:r>
            <w:r w:rsidR="004308D0" w:rsidRPr="00A24502">
              <w:rPr>
                <w:noProof/>
                <w:webHidden/>
                <w:sz w:val="22"/>
                <w:szCs w:val="22"/>
              </w:rPr>
              <w:fldChar w:fldCharType="separate"/>
            </w:r>
            <w:r w:rsidR="004308D0" w:rsidRPr="00A24502">
              <w:rPr>
                <w:noProof/>
                <w:webHidden/>
                <w:sz w:val="22"/>
                <w:szCs w:val="22"/>
              </w:rPr>
              <w:t>3</w:t>
            </w:r>
            <w:r w:rsidR="004308D0" w:rsidRPr="00A24502">
              <w:rPr>
                <w:noProof/>
                <w:webHidden/>
                <w:sz w:val="22"/>
                <w:szCs w:val="22"/>
              </w:rPr>
              <w:fldChar w:fldCharType="end"/>
            </w:r>
          </w:hyperlink>
        </w:p>
        <w:p w14:paraId="3FD5270B" w14:textId="7E816DB4" w:rsidR="004308D0" w:rsidRPr="00A24502" w:rsidRDefault="004308D0">
          <w:pPr>
            <w:pStyle w:val="TOC1"/>
            <w:tabs>
              <w:tab w:val="left" w:pos="480"/>
              <w:tab w:val="right" w:leader="dot" w:pos="9350"/>
            </w:tabs>
            <w:rPr>
              <w:rFonts w:eastAsiaTheme="minorEastAsia"/>
              <w:noProof/>
              <w:sz w:val="22"/>
              <w:szCs w:val="22"/>
            </w:rPr>
          </w:pPr>
          <w:hyperlink w:anchor="_Toc196247719" w:history="1">
            <w:r w:rsidRPr="00A24502">
              <w:rPr>
                <w:rStyle w:val="Hyperlink"/>
                <w:noProof/>
                <w:sz w:val="22"/>
                <w:szCs w:val="22"/>
              </w:rPr>
              <w:t>II.</w:t>
            </w:r>
            <w:r w:rsidRPr="00A24502">
              <w:rPr>
                <w:rFonts w:eastAsiaTheme="minorEastAsia"/>
                <w:noProof/>
                <w:sz w:val="22"/>
                <w:szCs w:val="22"/>
              </w:rPr>
              <w:tab/>
            </w:r>
            <w:r w:rsidRPr="00A24502">
              <w:rPr>
                <w:rStyle w:val="Hyperlink"/>
                <w:noProof/>
                <w:sz w:val="22"/>
                <w:szCs w:val="22"/>
              </w:rPr>
              <w:t>THE EVIDENTIARY FRAMEWORK OF EXTRAJUDICIAL STATEMENTS</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_Toc196247719 \h </w:instrText>
            </w:r>
            <w:r w:rsidRPr="00A24502">
              <w:rPr>
                <w:noProof/>
                <w:webHidden/>
                <w:sz w:val="22"/>
                <w:szCs w:val="22"/>
              </w:rPr>
            </w:r>
            <w:r w:rsidRPr="00A24502">
              <w:rPr>
                <w:noProof/>
                <w:webHidden/>
                <w:sz w:val="22"/>
                <w:szCs w:val="22"/>
              </w:rPr>
              <w:fldChar w:fldCharType="separate"/>
            </w:r>
            <w:r w:rsidRPr="00A24502">
              <w:rPr>
                <w:noProof/>
                <w:webHidden/>
                <w:sz w:val="22"/>
                <w:szCs w:val="22"/>
              </w:rPr>
              <w:t>5</w:t>
            </w:r>
            <w:r w:rsidRPr="00A24502">
              <w:rPr>
                <w:noProof/>
                <w:webHidden/>
                <w:sz w:val="22"/>
                <w:szCs w:val="22"/>
              </w:rPr>
              <w:fldChar w:fldCharType="end"/>
            </w:r>
          </w:hyperlink>
        </w:p>
        <w:p w14:paraId="6F47A177" w14:textId="0BD14B61" w:rsidR="004308D0" w:rsidRPr="00A24502" w:rsidRDefault="004308D0">
          <w:pPr>
            <w:pStyle w:val="TOC1"/>
            <w:tabs>
              <w:tab w:val="left" w:pos="720"/>
              <w:tab w:val="right" w:leader="dot" w:pos="9350"/>
            </w:tabs>
            <w:rPr>
              <w:rFonts w:eastAsiaTheme="minorEastAsia"/>
              <w:noProof/>
              <w:sz w:val="22"/>
              <w:szCs w:val="22"/>
            </w:rPr>
          </w:pPr>
          <w:hyperlink w:anchor="_Toc196247720" w:history="1">
            <w:r w:rsidRPr="00A24502">
              <w:rPr>
                <w:rStyle w:val="Hyperlink"/>
                <w:noProof/>
                <w:sz w:val="22"/>
                <w:szCs w:val="22"/>
              </w:rPr>
              <w:t>III.</w:t>
            </w:r>
            <w:r w:rsidRPr="00A24502">
              <w:rPr>
                <w:rFonts w:eastAsiaTheme="minorEastAsia"/>
                <w:noProof/>
                <w:sz w:val="22"/>
                <w:szCs w:val="22"/>
              </w:rPr>
              <w:tab/>
            </w:r>
            <w:r w:rsidRPr="00A24502">
              <w:rPr>
                <w:rStyle w:val="Hyperlink"/>
                <w:noProof/>
                <w:sz w:val="22"/>
                <w:szCs w:val="22"/>
              </w:rPr>
              <w:t>HEARSAY OR NOT HEARSAY OR SOME EXCEPTION TO THE RULE</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_Toc196247720 \h </w:instrText>
            </w:r>
            <w:r w:rsidRPr="00A24502">
              <w:rPr>
                <w:noProof/>
                <w:webHidden/>
                <w:sz w:val="22"/>
                <w:szCs w:val="22"/>
              </w:rPr>
            </w:r>
            <w:r w:rsidRPr="00A24502">
              <w:rPr>
                <w:noProof/>
                <w:webHidden/>
                <w:sz w:val="22"/>
                <w:szCs w:val="22"/>
              </w:rPr>
              <w:fldChar w:fldCharType="separate"/>
            </w:r>
            <w:r w:rsidRPr="00A24502">
              <w:rPr>
                <w:noProof/>
                <w:webHidden/>
                <w:sz w:val="22"/>
                <w:szCs w:val="22"/>
              </w:rPr>
              <w:t>6</w:t>
            </w:r>
            <w:r w:rsidRPr="00A24502">
              <w:rPr>
                <w:noProof/>
                <w:webHidden/>
                <w:sz w:val="22"/>
                <w:szCs w:val="22"/>
              </w:rPr>
              <w:fldChar w:fldCharType="end"/>
            </w:r>
          </w:hyperlink>
        </w:p>
        <w:p w14:paraId="2A0A5595" w14:textId="6B1C20A7" w:rsidR="004308D0" w:rsidRPr="00A24502" w:rsidRDefault="004308D0">
          <w:pPr>
            <w:pStyle w:val="TOC2"/>
            <w:tabs>
              <w:tab w:val="left" w:pos="720"/>
              <w:tab w:val="right" w:leader="dot" w:pos="9350"/>
            </w:tabs>
            <w:rPr>
              <w:rFonts w:eastAsiaTheme="minorEastAsia"/>
              <w:noProof/>
              <w:sz w:val="22"/>
              <w:szCs w:val="22"/>
            </w:rPr>
          </w:pPr>
          <w:hyperlink w:anchor="_Toc196247721" w:history="1">
            <w:r w:rsidRPr="00A24502">
              <w:rPr>
                <w:rStyle w:val="Hyperlink"/>
                <w:noProof/>
                <w:sz w:val="22"/>
                <w:szCs w:val="22"/>
              </w:rPr>
              <w:t>A.</w:t>
            </w:r>
            <w:r w:rsidRPr="00A24502">
              <w:rPr>
                <w:rFonts w:eastAsiaTheme="minorEastAsia"/>
                <w:noProof/>
                <w:sz w:val="22"/>
                <w:szCs w:val="22"/>
              </w:rPr>
              <w:tab/>
            </w:r>
            <w:r w:rsidRPr="00A24502">
              <w:rPr>
                <w:rStyle w:val="Hyperlink"/>
                <w:noProof/>
                <w:sz w:val="22"/>
                <w:szCs w:val="22"/>
              </w:rPr>
              <w:t>Not Hearsay – ER 801(d)</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_Toc196247721 \h </w:instrText>
            </w:r>
            <w:r w:rsidRPr="00A24502">
              <w:rPr>
                <w:noProof/>
                <w:webHidden/>
                <w:sz w:val="22"/>
                <w:szCs w:val="22"/>
              </w:rPr>
            </w:r>
            <w:r w:rsidRPr="00A24502">
              <w:rPr>
                <w:noProof/>
                <w:webHidden/>
                <w:sz w:val="22"/>
                <w:szCs w:val="22"/>
              </w:rPr>
              <w:fldChar w:fldCharType="separate"/>
            </w:r>
            <w:r w:rsidRPr="00A24502">
              <w:rPr>
                <w:noProof/>
                <w:webHidden/>
                <w:sz w:val="22"/>
                <w:szCs w:val="22"/>
              </w:rPr>
              <w:t>6</w:t>
            </w:r>
            <w:r w:rsidRPr="00A24502">
              <w:rPr>
                <w:noProof/>
                <w:webHidden/>
                <w:sz w:val="22"/>
                <w:szCs w:val="22"/>
              </w:rPr>
              <w:fldChar w:fldCharType="end"/>
            </w:r>
          </w:hyperlink>
        </w:p>
        <w:p w14:paraId="6981F8A3" w14:textId="2283BE1D" w:rsidR="004308D0" w:rsidRPr="00A24502" w:rsidRDefault="004308D0">
          <w:pPr>
            <w:pStyle w:val="TOC2"/>
            <w:tabs>
              <w:tab w:val="left" w:pos="720"/>
              <w:tab w:val="right" w:leader="dot" w:pos="9350"/>
            </w:tabs>
            <w:rPr>
              <w:rFonts w:eastAsiaTheme="minorEastAsia"/>
              <w:noProof/>
              <w:sz w:val="22"/>
              <w:szCs w:val="22"/>
            </w:rPr>
          </w:pPr>
          <w:hyperlink w:anchor="_Toc196247722" w:history="1">
            <w:r w:rsidRPr="00A24502">
              <w:rPr>
                <w:rStyle w:val="Hyperlink"/>
                <w:noProof/>
                <w:sz w:val="22"/>
                <w:szCs w:val="22"/>
              </w:rPr>
              <w:t>B.</w:t>
            </w:r>
            <w:r w:rsidRPr="00A24502">
              <w:rPr>
                <w:rFonts w:eastAsiaTheme="minorEastAsia"/>
                <w:noProof/>
                <w:sz w:val="22"/>
                <w:szCs w:val="22"/>
              </w:rPr>
              <w:tab/>
            </w:r>
            <w:r w:rsidRPr="00A24502">
              <w:rPr>
                <w:rStyle w:val="Hyperlink"/>
                <w:noProof/>
                <w:sz w:val="22"/>
                <w:szCs w:val="22"/>
              </w:rPr>
              <w:t>Hearsay Exceptions – Declarant Availability Immaterial (ER 803)</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_Toc196247722 \h </w:instrText>
            </w:r>
            <w:r w:rsidRPr="00A24502">
              <w:rPr>
                <w:noProof/>
                <w:webHidden/>
                <w:sz w:val="22"/>
                <w:szCs w:val="22"/>
              </w:rPr>
            </w:r>
            <w:r w:rsidRPr="00A24502">
              <w:rPr>
                <w:noProof/>
                <w:webHidden/>
                <w:sz w:val="22"/>
                <w:szCs w:val="22"/>
              </w:rPr>
              <w:fldChar w:fldCharType="separate"/>
            </w:r>
            <w:r w:rsidRPr="00A24502">
              <w:rPr>
                <w:noProof/>
                <w:webHidden/>
                <w:sz w:val="22"/>
                <w:szCs w:val="22"/>
              </w:rPr>
              <w:t>7</w:t>
            </w:r>
            <w:r w:rsidRPr="00A24502">
              <w:rPr>
                <w:noProof/>
                <w:webHidden/>
                <w:sz w:val="22"/>
                <w:szCs w:val="22"/>
              </w:rPr>
              <w:fldChar w:fldCharType="end"/>
            </w:r>
          </w:hyperlink>
        </w:p>
        <w:p w14:paraId="3A2C784E" w14:textId="6D992255" w:rsidR="004308D0" w:rsidRPr="00A24502" w:rsidRDefault="004308D0">
          <w:pPr>
            <w:pStyle w:val="TOC2"/>
            <w:tabs>
              <w:tab w:val="left" w:pos="720"/>
              <w:tab w:val="right" w:leader="dot" w:pos="9350"/>
            </w:tabs>
            <w:rPr>
              <w:rFonts w:eastAsiaTheme="minorEastAsia"/>
              <w:noProof/>
              <w:sz w:val="22"/>
              <w:szCs w:val="22"/>
            </w:rPr>
          </w:pPr>
          <w:hyperlink w:anchor="_Toc196247723" w:history="1">
            <w:r w:rsidRPr="00A24502">
              <w:rPr>
                <w:rStyle w:val="Hyperlink"/>
                <w:noProof/>
                <w:sz w:val="22"/>
                <w:szCs w:val="22"/>
              </w:rPr>
              <w:t>C.</w:t>
            </w:r>
            <w:r w:rsidRPr="00A24502">
              <w:rPr>
                <w:rFonts w:eastAsiaTheme="minorEastAsia"/>
                <w:noProof/>
                <w:sz w:val="22"/>
                <w:szCs w:val="22"/>
              </w:rPr>
              <w:tab/>
            </w:r>
            <w:r w:rsidRPr="00A24502">
              <w:rPr>
                <w:rStyle w:val="Hyperlink"/>
                <w:noProof/>
                <w:sz w:val="22"/>
                <w:szCs w:val="22"/>
              </w:rPr>
              <w:t>Hearsay Exceptions – Declarant Unavailable (ER 804)</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_Toc196247723 \h </w:instrText>
            </w:r>
            <w:r w:rsidRPr="00A24502">
              <w:rPr>
                <w:noProof/>
                <w:webHidden/>
                <w:sz w:val="22"/>
                <w:szCs w:val="22"/>
              </w:rPr>
            </w:r>
            <w:r w:rsidRPr="00A24502">
              <w:rPr>
                <w:noProof/>
                <w:webHidden/>
                <w:sz w:val="22"/>
                <w:szCs w:val="22"/>
              </w:rPr>
              <w:fldChar w:fldCharType="separate"/>
            </w:r>
            <w:r w:rsidRPr="00A24502">
              <w:rPr>
                <w:noProof/>
                <w:webHidden/>
                <w:sz w:val="22"/>
                <w:szCs w:val="22"/>
              </w:rPr>
              <w:t>12</w:t>
            </w:r>
            <w:r w:rsidRPr="00A24502">
              <w:rPr>
                <w:noProof/>
                <w:webHidden/>
                <w:sz w:val="22"/>
                <w:szCs w:val="22"/>
              </w:rPr>
              <w:fldChar w:fldCharType="end"/>
            </w:r>
          </w:hyperlink>
        </w:p>
        <w:p w14:paraId="5710222D" w14:textId="29189A86" w:rsidR="004308D0" w:rsidRPr="00A24502" w:rsidRDefault="004308D0">
          <w:pPr>
            <w:pStyle w:val="TOC2"/>
            <w:tabs>
              <w:tab w:val="left" w:pos="720"/>
              <w:tab w:val="right" w:leader="dot" w:pos="9350"/>
            </w:tabs>
            <w:rPr>
              <w:rFonts w:eastAsiaTheme="minorEastAsia"/>
              <w:noProof/>
              <w:sz w:val="22"/>
              <w:szCs w:val="22"/>
            </w:rPr>
          </w:pPr>
          <w:hyperlink w:anchor="_Toc196247724" w:history="1">
            <w:r w:rsidRPr="00A24502">
              <w:rPr>
                <w:rStyle w:val="Hyperlink"/>
                <w:noProof/>
                <w:sz w:val="22"/>
                <w:szCs w:val="22"/>
              </w:rPr>
              <w:t>D.</w:t>
            </w:r>
            <w:r w:rsidRPr="00A24502">
              <w:rPr>
                <w:rFonts w:eastAsiaTheme="minorEastAsia"/>
                <w:noProof/>
                <w:sz w:val="22"/>
                <w:szCs w:val="22"/>
              </w:rPr>
              <w:tab/>
            </w:r>
            <w:r w:rsidRPr="00A24502">
              <w:rPr>
                <w:rStyle w:val="Hyperlink"/>
                <w:noProof/>
                <w:sz w:val="22"/>
                <w:szCs w:val="22"/>
              </w:rPr>
              <w:t>Residual Exception – ER 803(a)(24)</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_Toc196247724 \h </w:instrText>
            </w:r>
            <w:r w:rsidRPr="00A24502">
              <w:rPr>
                <w:noProof/>
                <w:webHidden/>
                <w:sz w:val="22"/>
                <w:szCs w:val="22"/>
              </w:rPr>
            </w:r>
            <w:r w:rsidRPr="00A24502">
              <w:rPr>
                <w:noProof/>
                <w:webHidden/>
                <w:sz w:val="22"/>
                <w:szCs w:val="22"/>
              </w:rPr>
              <w:fldChar w:fldCharType="separate"/>
            </w:r>
            <w:r w:rsidRPr="00A24502">
              <w:rPr>
                <w:noProof/>
                <w:webHidden/>
                <w:sz w:val="22"/>
                <w:szCs w:val="22"/>
              </w:rPr>
              <w:t>13</w:t>
            </w:r>
            <w:r w:rsidRPr="00A24502">
              <w:rPr>
                <w:noProof/>
                <w:webHidden/>
                <w:sz w:val="22"/>
                <w:szCs w:val="22"/>
              </w:rPr>
              <w:fldChar w:fldCharType="end"/>
            </w:r>
          </w:hyperlink>
        </w:p>
        <w:p w14:paraId="20FBEA06" w14:textId="2AD49461" w:rsidR="004308D0" w:rsidRPr="00A24502" w:rsidRDefault="004308D0">
          <w:pPr>
            <w:pStyle w:val="TOC1"/>
            <w:tabs>
              <w:tab w:val="left" w:pos="720"/>
              <w:tab w:val="right" w:leader="dot" w:pos="9350"/>
            </w:tabs>
            <w:rPr>
              <w:rFonts w:eastAsiaTheme="minorEastAsia"/>
              <w:noProof/>
              <w:sz w:val="22"/>
              <w:szCs w:val="22"/>
            </w:rPr>
          </w:pPr>
          <w:hyperlink w:anchor="_Toc196247725" w:history="1">
            <w:r w:rsidRPr="00A24502">
              <w:rPr>
                <w:rStyle w:val="Hyperlink"/>
                <w:noProof/>
                <w:sz w:val="22"/>
                <w:szCs w:val="22"/>
              </w:rPr>
              <w:t>IV.</w:t>
            </w:r>
            <w:r w:rsidRPr="00A24502">
              <w:rPr>
                <w:rFonts w:eastAsiaTheme="minorEastAsia"/>
                <w:noProof/>
                <w:sz w:val="22"/>
                <w:szCs w:val="22"/>
              </w:rPr>
              <w:tab/>
            </w:r>
            <w:r w:rsidRPr="00A24502">
              <w:rPr>
                <w:rStyle w:val="Hyperlink"/>
                <w:noProof/>
                <w:sz w:val="22"/>
                <w:szCs w:val="22"/>
              </w:rPr>
              <w:t>CHALLENGING THE ADMISSIBILITY OF A VERBAL AND WRITTEN EXTRAJUDICIAL STATEMENTS</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_Toc196247725 \h </w:instrText>
            </w:r>
            <w:r w:rsidRPr="00A24502">
              <w:rPr>
                <w:noProof/>
                <w:webHidden/>
                <w:sz w:val="22"/>
                <w:szCs w:val="22"/>
              </w:rPr>
            </w:r>
            <w:r w:rsidRPr="00A24502">
              <w:rPr>
                <w:noProof/>
                <w:webHidden/>
                <w:sz w:val="22"/>
                <w:szCs w:val="22"/>
              </w:rPr>
              <w:fldChar w:fldCharType="separate"/>
            </w:r>
            <w:r w:rsidRPr="00A24502">
              <w:rPr>
                <w:noProof/>
                <w:webHidden/>
                <w:sz w:val="22"/>
                <w:szCs w:val="22"/>
              </w:rPr>
              <w:t>14</w:t>
            </w:r>
            <w:r w:rsidRPr="00A24502">
              <w:rPr>
                <w:noProof/>
                <w:webHidden/>
                <w:sz w:val="22"/>
                <w:szCs w:val="22"/>
              </w:rPr>
              <w:fldChar w:fldCharType="end"/>
            </w:r>
          </w:hyperlink>
        </w:p>
        <w:p w14:paraId="7B4D9B34" w14:textId="08FBC8FD" w:rsidR="004308D0" w:rsidRPr="00A24502" w:rsidRDefault="004308D0">
          <w:pPr>
            <w:pStyle w:val="TOC2"/>
            <w:tabs>
              <w:tab w:val="left" w:pos="720"/>
              <w:tab w:val="right" w:leader="dot" w:pos="9350"/>
            </w:tabs>
            <w:rPr>
              <w:rFonts w:eastAsiaTheme="minorEastAsia"/>
              <w:noProof/>
              <w:sz w:val="22"/>
              <w:szCs w:val="22"/>
            </w:rPr>
          </w:pPr>
          <w:hyperlink w:anchor="_Toc196247726" w:history="1">
            <w:r w:rsidRPr="00A24502">
              <w:rPr>
                <w:rStyle w:val="Hyperlink"/>
                <w:noProof/>
                <w:sz w:val="22"/>
                <w:szCs w:val="22"/>
              </w:rPr>
              <w:t>A.</w:t>
            </w:r>
            <w:r w:rsidRPr="00A24502">
              <w:rPr>
                <w:rFonts w:eastAsiaTheme="minorEastAsia"/>
                <w:noProof/>
                <w:sz w:val="22"/>
                <w:szCs w:val="22"/>
              </w:rPr>
              <w:tab/>
            </w:r>
            <w:r w:rsidRPr="00A24502">
              <w:rPr>
                <w:rStyle w:val="Hyperlink"/>
                <w:noProof/>
                <w:sz w:val="22"/>
                <w:szCs w:val="22"/>
              </w:rPr>
              <w:t xml:space="preserve">Argue that the written statement of the alleged victim is hearsay and not properly admissible under ER 801(d)(1)(i) Applying </w:t>
            </w:r>
            <w:r w:rsidRPr="00A24502">
              <w:rPr>
                <w:rStyle w:val="Hyperlink"/>
                <w:i/>
                <w:iCs/>
                <w:noProof/>
                <w:sz w:val="22"/>
                <w:szCs w:val="22"/>
              </w:rPr>
              <w:t>Smith</w:t>
            </w:r>
            <w:r w:rsidRPr="00A24502">
              <w:rPr>
                <w:rStyle w:val="Hyperlink"/>
                <w:noProof/>
                <w:sz w:val="22"/>
                <w:szCs w:val="22"/>
              </w:rPr>
              <w:t xml:space="preserve"> and </w:t>
            </w:r>
            <w:r w:rsidRPr="00A24502">
              <w:rPr>
                <w:rStyle w:val="Hyperlink"/>
                <w:i/>
                <w:iCs/>
                <w:noProof/>
                <w:sz w:val="22"/>
                <w:szCs w:val="22"/>
              </w:rPr>
              <w:t>Nelson</w:t>
            </w:r>
            <w:r w:rsidRPr="00A24502">
              <w:rPr>
                <w:rStyle w:val="Hyperlink"/>
                <w:noProof/>
                <w:sz w:val="22"/>
                <w:szCs w:val="22"/>
              </w:rPr>
              <w:t xml:space="preserve"> to demonstrate that the statement at issue is inadmissible even under those cases</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_Toc196247726 \h </w:instrText>
            </w:r>
            <w:r w:rsidRPr="00A24502">
              <w:rPr>
                <w:noProof/>
                <w:webHidden/>
                <w:sz w:val="22"/>
                <w:szCs w:val="22"/>
              </w:rPr>
            </w:r>
            <w:r w:rsidRPr="00A24502">
              <w:rPr>
                <w:noProof/>
                <w:webHidden/>
                <w:sz w:val="22"/>
                <w:szCs w:val="22"/>
              </w:rPr>
              <w:fldChar w:fldCharType="separate"/>
            </w:r>
            <w:r w:rsidRPr="00A24502">
              <w:rPr>
                <w:noProof/>
                <w:webHidden/>
                <w:sz w:val="22"/>
                <w:szCs w:val="22"/>
              </w:rPr>
              <w:t>14</w:t>
            </w:r>
            <w:r w:rsidRPr="00A24502">
              <w:rPr>
                <w:noProof/>
                <w:webHidden/>
                <w:sz w:val="22"/>
                <w:szCs w:val="22"/>
              </w:rPr>
              <w:fldChar w:fldCharType="end"/>
            </w:r>
          </w:hyperlink>
        </w:p>
        <w:p w14:paraId="6B480E7A" w14:textId="027E10AB" w:rsidR="004308D0" w:rsidRPr="00A24502" w:rsidRDefault="004308D0">
          <w:pPr>
            <w:pStyle w:val="TOC2"/>
            <w:tabs>
              <w:tab w:val="left" w:pos="720"/>
              <w:tab w:val="right" w:leader="dot" w:pos="9350"/>
            </w:tabs>
            <w:rPr>
              <w:rFonts w:eastAsiaTheme="minorEastAsia"/>
              <w:noProof/>
              <w:sz w:val="22"/>
              <w:szCs w:val="22"/>
            </w:rPr>
          </w:pPr>
          <w:hyperlink w:anchor="_Toc196247727" w:history="1">
            <w:r w:rsidRPr="00A24502">
              <w:rPr>
                <w:rStyle w:val="Hyperlink"/>
                <w:noProof/>
                <w:sz w:val="22"/>
                <w:szCs w:val="22"/>
                <w:highlight w:val="yellow"/>
              </w:rPr>
              <w:t>B.</w:t>
            </w:r>
            <w:r w:rsidRPr="00A24502">
              <w:rPr>
                <w:rFonts w:eastAsiaTheme="minorEastAsia"/>
                <w:noProof/>
                <w:sz w:val="22"/>
                <w:szCs w:val="22"/>
              </w:rPr>
              <w:tab/>
            </w:r>
            <w:r w:rsidRPr="00A24502">
              <w:rPr>
                <w:rStyle w:val="Hyperlink"/>
                <w:noProof/>
                <w:sz w:val="22"/>
                <w:szCs w:val="22"/>
                <w:highlight w:val="yellow"/>
              </w:rPr>
              <w:t>Challenge the legal foundatio</w:t>
            </w:r>
            <w:r w:rsidRPr="00A24502">
              <w:rPr>
                <w:rStyle w:val="Hyperlink"/>
                <w:noProof/>
                <w:sz w:val="22"/>
                <w:szCs w:val="22"/>
                <w:highlight w:val="yellow"/>
              </w:rPr>
              <w:t>n</w:t>
            </w:r>
            <w:r w:rsidRPr="00A24502">
              <w:rPr>
                <w:rStyle w:val="Hyperlink"/>
                <w:noProof/>
                <w:sz w:val="22"/>
                <w:szCs w:val="22"/>
                <w:highlight w:val="yellow"/>
              </w:rPr>
              <w:t xml:space="preserve"> of Smith and Nelson as inconsistent with recent Supreme Court authority</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_Toc196247727 \h </w:instrText>
            </w:r>
            <w:r w:rsidRPr="00A24502">
              <w:rPr>
                <w:noProof/>
                <w:webHidden/>
                <w:sz w:val="22"/>
                <w:szCs w:val="22"/>
              </w:rPr>
            </w:r>
            <w:r w:rsidRPr="00A24502">
              <w:rPr>
                <w:noProof/>
                <w:webHidden/>
                <w:sz w:val="22"/>
                <w:szCs w:val="22"/>
              </w:rPr>
              <w:fldChar w:fldCharType="separate"/>
            </w:r>
            <w:r w:rsidRPr="00A24502">
              <w:rPr>
                <w:noProof/>
                <w:webHidden/>
                <w:sz w:val="22"/>
                <w:szCs w:val="22"/>
              </w:rPr>
              <w:t>15</w:t>
            </w:r>
            <w:r w:rsidRPr="00A24502">
              <w:rPr>
                <w:noProof/>
                <w:webHidden/>
                <w:sz w:val="22"/>
                <w:szCs w:val="22"/>
              </w:rPr>
              <w:fldChar w:fldCharType="end"/>
            </w:r>
          </w:hyperlink>
        </w:p>
        <w:p w14:paraId="46605070" w14:textId="296CF145" w:rsidR="004308D0" w:rsidRPr="00A24502" w:rsidRDefault="004308D0">
          <w:pPr>
            <w:pStyle w:val="TOC2"/>
            <w:tabs>
              <w:tab w:val="left" w:pos="720"/>
              <w:tab w:val="right" w:leader="dot" w:pos="9350"/>
            </w:tabs>
            <w:rPr>
              <w:rFonts w:eastAsiaTheme="minorEastAsia"/>
              <w:noProof/>
              <w:sz w:val="22"/>
              <w:szCs w:val="22"/>
            </w:rPr>
          </w:pPr>
          <w:hyperlink w:anchor="_Toc196247728" w:history="1">
            <w:r w:rsidRPr="00A24502">
              <w:rPr>
                <w:rStyle w:val="Hyperlink"/>
                <w:noProof/>
                <w:sz w:val="22"/>
                <w:szCs w:val="22"/>
              </w:rPr>
              <w:t>C.</w:t>
            </w:r>
            <w:r w:rsidRPr="00A24502">
              <w:rPr>
                <w:rFonts w:eastAsiaTheme="minorEastAsia"/>
                <w:noProof/>
                <w:sz w:val="22"/>
                <w:szCs w:val="22"/>
              </w:rPr>
              <w:tab/>
            </w:r>
            <w:r w:rsidRPr="00A24502">
              <w:rPr>
                <w:rStyle w:val="Hyperlink"/>
                <w:noProof/>
                <w:sz w:val="22"/>
                <w:szCs w:val="22"/>
              </w:rPr>
              <w:t xml:space="preserve">Argue that applying a "minimal guarantees of truthfulness" standard in </w:t>
            </w:r>
            <w:r w:rsidRPr="00A24502">
              <w:rPr>
                <w:rStyle w:val="Hyperlink"/>
                <w:i/>
                <w:iCs/>
                <w:noProof/>
                <w:sz w:val="22"/>
                <w:szCs w:val="22"/>
              </w:rPr>
              <w:t xml:space="preserve">Smith </w:t>
            </w:r>
            <w:r w:rsidRPr="00A24502">
              <w:rPr>
                <w:rStyle w:val="Hyperlink"/>
                <w:noProof/>
                <w:sz w:val="22"/>
                <w:szCs w:val="22"/>
              </w:rPr>
              <w:t xml:space="preserve"> allows the judge to improperly evaluate credibility</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_Toc196247728 \h </w:instrText>
            </w:r>
            <w:r w:rsidRPr="00A24502">
              <w:rPr>
                <w:noProof/>
                <w:webHidden/>
                <w:sz w:val="22"/>
                <w:szCs w:val="22"/>
              </w:rPr>
            </w:r>
            <w:r w:rsidRPr="00A24502">
              <w:rPr>
                <w:noProof/>
                <w:webHidden/>
                <w:sz w:val="22"/>
                <w:szCs w:val="22"/>
              </w:rPr>
              <w:fldChar w:fldCharType="separate"/>
            </w:r>
            <w:r w:rsidRPr="00A24502">
              <w:rPr>
                <w:noProof/>
                <w:webHidden/>
                <w:sz w:val="22"/>
                <w:szCs w:val="22"/>
              </w:rPr>
              <w:t>16</w:t>
            </w:r>
            <w:r w:rsidRPr="00A24502">
              <w:rPr>
                <w:noProof/>
                <w:webHidden/>
                <w:sz w:val="22"/>
                <w:szCs w:val="22"/>
              </w:rPr>
              <w:fldChar w:fldCharType="end"/>
            </w:r>
          </w:hyperlink>
        </w:p>
        <w:p w14:paraId="77FAA4BD" w14:textId="1EE8888A" w:rsidR="004308D0" w:rsidRPr="00A24502" w:rsidRDefault="004308D0">
          <w:pPr>
            <w:pStyle w:val="TOC2"/>
            <w:tabs>
              <w:tab w:val="left" w:pos="720"/>
              <w:tab w:val="right" w:leader="dot" w:pos="9350"/>
            </w:tabs>
            <w:rPr>
              <w:rFonts w:eastAsiaTheme="minorEastAsia"/>
              <w:noProof/>
              <w:sz w:val="22"/>
              <w:szCs w:val="22"/>
            </w:rPr>
          </w:pPr>
          <w:hyperlink w:anchor="_Toc196247729" w:history="1">
            <w:r w:rsidRPr="00A24502">
              <w:rPr>
                <w:rStyle w:val="Hyperlink"/>
                <w:noProof/>
                <w:sz w:val="22"/>
                <w:szCs w:val="22"/>
              </w:rPr>
              <w:t>D.</w:t>
            </w:r>
            <w:r w:rsidRPr="00A24502">
              <w:rPr>
                <w:rFonts w:eastAsiaTheme="minorEastAsia"/>
                <w:noProof/>
                <w:sz w:val="22"/>
                <w:szCs w:val="22"/>
              </w:rPr>
              <w:tab/>
            </w:r>
            <w:r w:rsidRPr="00A24502">
              <w:rPr>
                <w:rStyle w:val="Hyperlink"/>
                <w:noProof/>
                <w:sz w:val="22"/>
                <w:szCs w:val="22"/>
              </w:rPr>
              <w:t>Explain that Crawford and its progeny reject judicial determinations of reliability for testimonial statements</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_Toc196247729 \h </w:instrText>
            </w:r>
            <w:r w:rsidRPr="00A24502">
              <w:rPr>
                <w:noProof/>
                <w:webHidden/>
                <w:sz w:val="22"/>
                <w:szCs w:val="22"/>
              </w:rPr>
            </w:r>
            <w:r w:rsidRPr="00A24502">
              <w:rPr>
                <w:noProof/>
                <w:webHidden/>
                <w:sz w:val="22"/>
                <w:szCs w:val="22"/>
              </w:rPr>
              <w:fldChar w:fldCharType="separate"/>
            </w:r>
            <w:r w:rsidRPr="00A24502">
              <w:rPr>
                <w:noProof/>
                <w:webHidden/>
                <w:sz w:val="22"/>
                <w:szCs w:val="22"/>
              </w:rPr>
              <w:t>16</w:t>
            </w:r>
            <w:r w:rsidRPr="00A24502">
              <w:rPr>
                <w:noProof/>
                <w:webHidden/>
                <w:sz w:val="22"/>
                <w:szCs w:val="22"/>
              </w:rPr>
              <w:fldChar w:fldCharType="end"/>
            </w:r>
          </w:hyperlink>
        </w:p>
        <w:p w14:paraId="658ECE82" w14:textId="7C6F39E3" w:rsidR="004308D0" w:rsidRPr="00A24502" w:rsidRDefault="004308D0">
          <w:pPr>
            <w:pStyle w:val="TOC2"/>
            <w:tabs>
              <w:tab w:val="left" w:pos="720"/>
              <w:tab w:val="right" w:leader="dot" w:pos="9350"/>
            </w:tabs>
            <w:rPr>
              <w:rFonts w:eastAsiaTheme="minorEastAsia"/>
              <w:noProof/>
              <w:sz w:val="22"/>
              <w:szCs w:val="22"/>
            </w:rPr>
          </w:pPr>
          <w:hyperlink w:anchor="_Toc196247730" w:history="1">
            <w:r w:rsidRPr="00A24502">
              <w:rPr>
                <w:rStyle w:val="Hyperlink"/>
                <w:noProof/>
                <w:sz w:val="22"/>
                <w:szCs w:val="22"/>
              </w:rPr>
              <w:t>E.</w:t>
            </w:r>
            <w:r w:rsidRPr="00A24502">
              <w:rPr>
                <w:rFonts w:eastAsiaTheme="minorEastAsia"/>
                <w:noProof/>
                <w:sz w:val="22"/>
                <w:szCs w:val="22"/>
              </w:rPr>
              <w:tab/>
            </w:r>
            <w:r w:rsidRPr="00A24502">
              <w:rPr>
                <w:rStyle w:val="Hyperlink"/>
                <w:noProof/>
                <w:sz w:val="22"/>
                <w:szCs w:val="22"/>
              </w:rPr>
              <w:t>Assert that admitting the statement would violate Crawford because the witness is unavailable and the statement is testimonial</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_Toc196247730 \h </w:instrText>
            </w:r>
            <w:r w:rsidRPr="00A24502">
              <w:rPr>
                <w:noProof/>
                <w:webHidden/>
                <w:sz w:val="22"/>
                <w:szCs w:val="22"/>
              </w:rPr>
            </w:r>
            <w:r w:rsidRPr="00A24502">
              <w:rPr>
                <w:noProof/>
                <w:webHidden/>
                <w:sz w:val="22"/>
                <w:szCs w:val="22"/>
              </w:rPr>
              <w:fldChar w:fldCharType="separate"/>
            </w:r>
            <w:r w:rsidRPr="00A24502">
              <w:rPr>
                <w:noProof/>
                <w:webHidden/>
                <w:sz w:val="22"/>
                <w:szCs w:val="22"/>
              </w:rPr>
              <w:t>17</w:t>
            </w:r>
            <w:r w:rsidRPr="00A24502">
              <w:rPr>
                <w:noProof/>
                <w:webHidden/>
                <w:sz w:val="22"/>
                <w:szCs w:val="22"/>
              </w:rPr>
              <w:fldChar w:fldCharType="end"/>
            </w:r>
          </w:hyperlink>
        </w:p>
        <w:p w14:paraId="32954824" w14:textId="189D417B" w:rsidR="004308D0" w:rsidRPr="00A24502" w:rsidRDefault="004308D0">
          <w:pPr>
            <w:pStyle w:val="TOC2"/>
            <w:tabs>
              <w:tab w:val="left" w:pos="720"/>
              <w:tab w:val="right" w:leader="dot" w:pos="9350"/>
            </w:tabs>
            <w:rPr>
              <w:rFonts w:eastAsiaTheme="minorEastAsia"/>
              <w:noProof/>
              <w:sz w:val="22"/>
              <w:szCs w:val="22"/>
            </w:rPr>
          </w:pPr>
          <w:hyperlink w:anchor="_Toc196247731" w:history="1">
            <w:r w:rsidRPr="00A24502">
              <w:rPr>
                <w:rStyle w:val="Hyperlink"/>
                <w:noProof/>
                <w:sz w:val="22"/>
                <w:szCs w:val="22"/>
              </w:rPr>
              <w:t>F.</w:t>
            </w:r>
            <w:r w:rsidRPr="00A24502">
              <w:rPr>
                <w:rFonts w:eastAsiaTheme="minorEastAsia"/>
                <w:noProof/>
                <w:sz w:val="22"/>
                <w:szCs w:val="22"/>
              </w:rPr>
              <w:tab/>
            </w:r>
            <w:r w:rsidRPr="00A24502">
              <w:rPr>
                <w:rStyle w:val="Hyperlink"/>
                <w:noProof/>
                <w:sz w:val="22"/>
                <w:szCs w:val="22"/>
              </w:rPr>
              <w:t>Challenge Alternate Theories of Admissibility that Would be Immune to the Confrontation Clause Challenge</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_Toc196247731 \h </w:instrText>
            </w:r>
            <w:r w:rsidRPr="00A24502">
              <w:rPr>
                <w:noProof/>
                <w:webHidden/>
                <w:sz w:val="22"/>
                <w:szCs w:val="22"/>
              </w:rPr>
            </w:r>
            <w:r w:rsidRPr="00A24502">
              <w:rPr>
                <w:noProof/>
                <w:webHidden/>
                <w:sz w:val="22"/>
                <w:szCs w:val="22"/>
              </w:rPr>
              <w:fldChar w:fldCharType="separate"/>
            </w:r>
            <w:r w:rsidRPr="00A24502">
              <w:rPr>
                <w:noProof/>
                <w:webHidden/>
                <w:sz w:val="22"/>
                <w:szCs w:val="22"/>
              </w:rPr>
              <w:t>19</w:t>
            </w:r>
            <w:r w:rsidRPr="00A24502">
              <w:rPr>
                <w:noProof/>
                <w:webHidden/>
                <w:sz w:val="22"/>
                <w:szCs w:val="22"/>
              </w:rPr>
              <w:fldChar w:fldCharType="end"/>
            </w:r>
          </w:hyperlink>
        </w:p>
        <w:p w14:paraId="23FD4AAC" w14:textId="34184D1A" w:rsidR="004308D0" w:rsidRPr="00A24502" w:rsidRDefault="004308D0">
          <w:pPr>
            <w:pStyle w:val="TOC3"/>
            <w:tabs>
              <w:tab w:val="left" w:pos="960"/>
              <w:tab w:val="right" w:leader="dot" w:pos="9350"/>
            </w:tabs>
            <w:rPr>
              <w:rFonts w:eastAsiaTheme="minorEastAsia"/>
              <w:noProof/>
              <w:sz w:val="22"/>
              <w:szCs w:val="22"/>
            </w:rPr>
          </w:pPr>
          <w:hyperlink w:anchor="_Toc196247732" w:history="1">
            <w:r w:rsidRPr="00A24502">
              <w:rPr>
                <w:rStyle w:val="Hyperlink"/>
                <w:noProof/>
                <w:sz w:val="22"/>
                <w:szCs w:val="22"/>
              </w:rPr>
              <w:t>1.</w:t>
            </w:r>
            <w:r w:rsidRPr="00A24502">
              <w:rPr>
                <w:rFonts w:eastAsiaTheme="minorEastAsia"/>
                <w:noProof/>
                <w:sz w:val="22"/>
                <w:szCs w:val="22"/>
              </w:rPr>
              <w:tab/>
            </w:r>
            <w:r w:rsidRPr="00A24502">
              <w:rPr>
                <w:rStyle w:val="Hyperlink"/>
                <w:noProof/>
                <w:sz w:val="22"/>
                <w:szCs w:val="22"/>
              </w:rPr>
              <w:t>Alleged Excited Utterances</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_Toc196247732 \h </w:instrText>
            </w:r>
            <w:r w:rsidRPr="00A24502">
              <w:rPr>
                <w:noProof/>
                <w:webHidden/>
                <w:sz w:val="22"/>
                <w:szCs w:val="22"/>
              </w:rPr>
            </w:r>
            <w:r w:rsidRPr="00A24502">
              <w:rPr>
                <w:noProof/>
                <w:webHidden/>
                <w:sz w:val="22"/>
                <w:szCs w:val="22"/>
              </w:rPr>
              <w:fldChar w:fldCharType="separate"/>
            </w:r>
            <w:r w:rsidRPr="00A24502">
              <w:rPr>
                <w:noProof/>
                <w:webHidden/>
                <w:sz w:val="22"/>
                <w:szCs w:val="22"/>
              </w:rPr>
              <w:t>19</w:t>
            </w:r>
            <w:r w:rsidRPr="00A24502">
              <w:rPr>
                <w:noProof/>
                <w:webHidden/>
                <w:sz w:val="22"/>
                <w:szCs w:val="22"/>
              </w:rPr>
              <w:fldChar w:fldCharType="end"/>
            </w:r>
          </w:hyperlink>
        </w:p>
        <w:p w14:paraId="472667CC" w14:textId="34596E74" w:rsidR="004308D0" w:rsidRPr="00A24502" w:rsidRDefault="004308D0">
          <w:pPr>
            <w:pStyle w:val="TOC3"/>
            <w:tabs>
              <w:tab w:val="left" w:pos="960"/>
              <w:tab w:val="right" w:leader="dot" w:pos="9350"/>
            </w:tabs>
            <w:rPr>
              <w:rFonts w:eastAsiaTheme="minorEastAsia"/>
              <w:noProof/>
              <w:sz w:val="22"/>
              <w:szCs w:val="22"/>
            </w:rPr>
          </w:pPr>
          <w:hyperlink w:anchor="_Toc196247733" w:history="1">
            <w:r w:rsidRPr="00A24502">
              <w:rPr>
                <w:rStyle w:val="Hyperlink"/>
                <w:noProof/>
                <w:sz w:val="22"/>
                <w:szCs w:val="22"/>
              </w:rPr>
              <w:t>2.</w:t>
            </w:r>
            <w:r w:rsidRPr="00A24502">
              <w:rPr>
                <w:rFonts w:eastAsiaTheme="minorEastAsia"/>
                <w:noProof/>
                <w:sz w:val="22"/>
                <w:szCs w:val="22"/>
              </w:rPr>
              <w:tab/>
            </w:r>
            <w:r w:rsidRPr="00A24502">
              <w:rPr>
                <w:rStyle w:val="Hyperlink"/>
                <w:noProof/>
                <w:sz w:val="22"/>
                <w:szCs w:val="22"/>
              </w:rPr>
              <w:t>Present Sense Impression</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_Toc196247733 \h </w:instrText>
            </w:r>
            <w:r w:rsidRPr="00A24502">
              <w:rPr>
                <w:noProof/>
                <w:webHidden/>
                <w:sz w:val="22"/>
                <w:szCs w:val="22"/>
              </w:rPr>
            </w:r>
            <w:r w:rsidRPr="00A24502">
              <w:rPr>
                <w:noProof/>
                <w:webHidden/>
                <w:sz w:val="22"/>
                <w:szCs w:val="22"/>
              </w:rPr>
              <w:fldChar w:fldCharType="separate"/>
            </w:r>
            <w:r w:rsidRPr="00A24502">
              <w:rPr>
                <w:noProof/>
                <w:webHidden/>
                <w:sz w:val="22"/>
                <w:szCs w:val="22"/>
              </w:rPr>
              <w:t>20</w:t>
            </w:r>
            <w:r w:rsidRPr="00A24502">
              <w:rPr>
                <w:noProof/>
                <w:webHidden/>
                <w:sz w:val="22"/>
                <w:szCs w:val="22"/>
              </w:rPr>
              <w:fldChar w:fldCharType="end"/>
            </w:r>
          </w:hyperlink>
        </w:p>
        <w:p w14:paraId="2768E99B" w14:textId="2E5C91E4" w:rsidR="004308D0" w:rsidRPr="00A24502" w:rsidRDefault="004308D0">
          <w:pPr>
            <w:pStyle w:val="TOC2"/>
            <w:tabs>
              <w:tab w:val="left" w:pos="720"/>
              <w:tab w:val="right" w:leader="dot" w:pos="9350"/>
            </w:tabs>
            <w:rPr>
              <w:rFonts w:eastAsiaTheme="minorEastAsia"/>
              <w:noProof/>
              <w:sz w:val="22"/>
              <w:szCs w:val="22"/>
            </w:rPr>
          </w:pPr>
          <w:hyperlink w:anchor="_Toc196247734" w:history="1">
            <w:r w:rsidRPr="00A24502">
              <w:rPr>
                <w:rStyle w:val="Hyperlink"/>
                <w:noProof/>
                <w:sz w:val="22"/>
                <w:szCs w:val="22"/>
              </w:rPr>
              <w:t>G.</w:t>
            </w:r>
            <w:r w:rsidRPr="00A24502">
              <w:rPr>
                <w:rFonts w:eastAsiaTheme="minorEastAsia"/>
                <w:noProof/>
                <w:sz w:val="22"/>
                <w:szCs w:val="22"/>
              </w:rPr>
              <w:tab/>
            </w:r>
            <w:r w:rsidRPr="00A24502">
              <w:rPr>
                <w:rStyle w:val="Hyperlink"/>
                <w:rFonts w:cs="Times"/>
                <w:noProof/>
                <w:sz w:val="22"/>
                <w:szCs w:val="22"/>
              </w:rPr>
              <w:t>Challenging the Witness’s Competency under RCW 5.60.050</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_Toc196247734 \h </w:instrText>
            </w:r>
            <w:r w:rsidRPr="00A24502">
              <w:rPr>
                <w:noProof/>
                <w:webHidden/>
                <w:sz w:val="22"/>
                <w:szCs w:val="22"/>
              </w:rPr>
            </w:r>
            <w:r w:rsidRPr="00A24502">
              <w:rPr>
                <w:noProof/>
                <w:webHidden/>
                <w:sz w:val="22"/>
                <w:szCs w:val="22"/>
              </w:rPr>
              <w:fldChar w:fldCharType="separate"/>
            </w:r>
            <w:r w:rsidRPr="00A24502">
              <w:rPr>
                <w:noProof/>
                <w:webHidden/>
                <w:sz w:val="22"/>
                <w:szCs w:val="22"/>
              </w:rPr>
              <w:t>22</w:t>
            </w:r>
            <w:r w:rsidRPr="00A24502">
              <w:rPr>
                <w:noProof/>
                <w:webHidden/>
                <w:sz w:val="22"/>
                <w:szCs w:val="22"/>
              </w:rPr>
              <w:fldChar w:fldCharType="end"/>
            </w:r>
          </w:hyperlink>
        </w:p>
        <w:p w14:paraId="7ED6B9BE" w14:textId="757EDDD6" w:rsidR="004308D0" w:rsidRPr="00A24502" w:rsidRDefault="004308D0">
          <w:pPr>
            <w:pStyle w:val="TOC2"/>
            <w:tabs>
              <w:tab w:val="left" w:pos="960"/>
              <w:tab w:val="right" w:leader="dot" w:pos="9350"/>
            </w:tabs>
            <w:rPr>
              <w:rFonts w:eastAsiaTheme="minorEastAsia"/>
              <w:noProof/>
              <w:sz w:val="22"/>
              <w:szCs w:val="22"/>
            </w:rPr>
          </w:pPr>
          <w:hyperlink w:anchor="_Toc196247735" w:history="1">
            <w:r w:rsidRPr="00A24502">
              <w:rPr>
                <w:rStyle w:val="Hyperlink"/>
                <w:noProof/>
                <w:sz w:val="22"/>
                <w:szCs w:val="22"/>
              </w:rPr>
              <w:t>H.</w:t>
            </w:r>
            <w:r w:rsidRPr="00A24502">
              <w:rPr>
                <w:rFonts w:eastAsiaTheme="minorEastAsia"/>
                <w:noProof/>
                <w:sz w:val="22"/>
                <w:szCs w:val="22"/>
              </w:rPr>
              <w:tab/>
            </w:r>
            <w:r w:rsidRPr="00A24502">
              <w:rPr>
                <w:rStyle w:val="Hyperlink"/>
                <w:noProof/>
                <w:sz w:val="22"/>
                <w:szCs w:val="22"/>
              </w:rPr>
              <w:t xml:space="preserve">Prohibiting Use of the Alleged Victim for Impeachment-Only Purposes Under ER 607,  </w:t>
            </w:r>
            <w:r w:rsidRPr="00A24502">
              <w:rPr>
                <w:rStyle w:val="Hyperlink"/>
                <w:i/>
                <w:iCs/>
                <w:noProof/>
                <w:sz w:val="22"/>
                <w:szCs w:val="22"/>
              </w:rPr>
              <w:t>State v. Lavaris</w:t>
            </w:r>
            <w:r w:rsidRPr="00A24502">
              <w:rPr>
                <w:rStyle w:val="Hyperlink"/>
                <w:noProof/>
                <w:sz w:val="22"/>
                <w:szCs w:val="22"/>
              </w:rPr>
              <w:t xml:space="preserve"> and Related Jurisprudence</w:t>
            </w:r>
            <w:r w:rsidRPr="00A24502">
              <w:rPr>
                <w:noProof/>
                <w:webHidden/>
                <w:sz w:val="22"/>
                <w:szCs w:val="22"/>
              </w:rPr>
              <w:tab/>
            </w:r>
            <w:r w:rsidRPr="00A24502">
              <w:rPr>
                <w:noProof/>
                <w:webHidden/>
                <w:sz w:val="22"/>
                <w:szCs w:val="22"/>
              </w:rPr>
              <w:fldChar w:fldCharType="begin"/>
            </w:r>
            <w:r w:rsidRPr="00A24502">
              <w:rPr>
                <w:noProof/>
                <w:webHidden/>
                <w:sz w:val="22"/>
                <w:szCs w:val="22"/>
              </w:rPr>
              <w:instrText xml:space="preserve"> PAGEREF _Toc196247735 \h </w:instrText>
            </w:r>
            <w:r w:rsidRPr="00A24502">
              <w:rPr>
                <w:noProof/>
                <w:webHidden/>
                <w:sz w:val="22"/>
                <w:szCs w:val="22"/>
              </w:rPr>
            </w:r>
            <w:r w:rsidRPr="00A24502">
              <w:rPr>
                <w:noProof/>
                <w:webHidden/>
                <w:sz w:val="22"/>
                <w:szCs w:val="22"/>
              </w:rPr>
              <w:fldChar w:fldCharType="separate"/>
            </w:r>
            <w:r w:rsidRPr="00A24502">
              <w:rPr>
                <w:noProof/>
                <w:webHidden/>
                <w:sz w:val="22"/>
                <w:szCs w:val="22"/>
              </w:rPr>
              <w:t>22</w:t>
            </w:r>
            <w:r w:rsidRPr="00A24502">
              <w:rPr>
                <w:noProof/>
                <w:webHidden/>
                <w:sz w:val="22"/>
                <w:szCs w:val="22"/>
              </w:rPr>
              <w:fldChar w:fldCharType="end"/>
            </w:r>
          </w:hyperlink>
        </w:p>
        <w:p w14:paraId="1779212F" w14:textId="0EA0B772" w:rsidR="00963E79" w:rsidRPr="00A24502" w:rsidRDefault="00963E79">
          <w:pPr>
            <w:rPr>
              <w:sz w:val="22"/>
              <w:szCs w:val="22"/>
            </w:rPr>
          </w:pPr>
          <w:r w:rsidRPr="00A24502">
            <w:rPr>
              <w:noProof/>
              <w:sz w:val="22"/>
              <w:szCs w:val="22"/>
            </w:rPr>
            <w:fldChar w:fldCharType="end"/>
          </w:r>
        </w:p>
      </w:sdtContent>
    </w:sdt>
    <w:p w14:paraId="0982884C" w14:textId="77777777" w:rsidR="00963E79" w:rsidRPr="00A24502" w:rsidRDefault="00963E79" w:rsidP="00963E79">
      <w:pPr>
        <w:rPr>
          <w:sz w:val="22"/>
          <w:szCs w:val="22"/>
        </w:rPr>
      </w:pPr>
    </w:p>
    <w:p w14:paraId="5272F3EF" w14:textId="77777777" w:rsidR="00963E79" w:rsidRPr="00A24502" w:rsidRDefault="00963E79" w:rsidP="00963E79">
      <w:pPr>
        <w:rPr>
          <w:sz w:val="22"/>
          <w:szCs w:val="22"/>
        </w:rPr>
      </w:pPr>
    </w:p>
    <w:p w14:paraId="1BB218B1" w14:textId="73B4F628" w:rsidR="004308D0" w:rsidRPr="00A24502" w:rsidRDefault="004308D0">
      <w:pPr>
        <w:rPr>
          <w:sz w:val="22"/>
          <w:szCs w:val="22"/>
        </w:rPr>
      </w:pPr>
      <w:r w:rsidRPr="00A24502">
        <w:rPr>
          <w:sz w:val="22"/>
          <w:szCs w:val="22"/>
        </w:rPr>
        <w:br w:type="page"/>
      </w:r>
    </w:p>
    <w:p w14:paraId="00545099" w14:textId="77777777" w:rsidR="00963E79" w:rsidRPr="00A24502" w:rsidRDefault="00963E79" w:rsidP="00963E79">
      <w:pPr>
        <w:rPr>
          <w:sz w:val="22"/>
          <w:szCs w:val="22"/>
        </w:rPr>
      </w:pPr>
    </w:p>
    <w:p w14:paraId="6E982383" w14:textId="77777777" w:rsidR="00963E79" w:rsidRPr="00A24502" w:rsidRDefault="00963E79" w:rsidP="00963E79">
      <w:pPr>
        <w:rPr>
          <w:sz w:val="22"/>
          <w:szCs w:val="22"/>
        </w:rPr>
      </w:pPr>
    </w:p>
    <w:p w14:paraId="094D603A" w14:textId="15840FB5" w:rsidR="003C0F50" w:rsidRPr="00A24502" w:rsidRDefault="00DC73E1" w:rsidP="00DC73E1">
      <w:pPr>
        <w:pStyle w:val="ListParagraph"/>
        <w:numPr>
          <w:ilvl w:val="0"/>
          <w:numId w:val="8"/>
        </w:numPr>
        <w:outlineLvl w:val="0"/>
        <w:rPr>
          <w:b/>
          <w:bCs/>
          <w:sz w:val="22"/>
          <w:szCs w:val="22"/>
        </w:rPr>
      </w:pPr>
      <w:bookmarkStart w:id="0" w:name="_Toc196247718"/>
      <w:r w:rsidRPr="00A24502">
        <w:rPr>
          <w:b/>
          <w:bCs/>
          <w:sz w:val="22"/>
          <w:szCs w:val="22"/>
        </w:rPr>
        <w:t>INTRODUCTION</w:t>
      </w:r>
      <w:r w:rsidR="000D6D19" w:rsidRPr="00A24502">
        <w:rPr>
          <w:b/>
          <w:bCs/>
          <w:sz w:val="22"/>
          <w:szCs w:val="22"/>
        </w:rPr>
        <w:t xml:space="preserve">: </w:t>
      </w:r>
      <w:r w:rsidRPr="00A24502">
        <w:rPr>
          <w:b/>
          <w:bCs/>
          <w:sz w:val="22"/>
          <w:szCs w:val="22"/>
        </w:rPr>
        <w:t>WHAT</w:t>
      </w:r>
      <w:r w:rsidR="000D6D19" w:rsidRPr="00A24502">
        <w:rPr>
          <w:b/>
          <w:bCs/>
          <w:sz w:val="22"/>
          <w:szCs w:val="22"/>
        </w:rPr>
        <w:t xml:space="preserve"> </w:t>
      </w:r>
      <w:r w:rsidRPr="00A24502">
        <w:rPr>
          <w:b/>
          <w:bCs/>
          <w:sz w:val="22"/>
          <w:szCs w:val="22"/>
        </w:rPr>
        <w:t>EVER HAPPENED TO THE TRUTH?</w:t>
      </w:r>
      <w:bookmarkEnd w:id="0"/>
    </w:p>
    <w:p w14:paraId="78714165" w14:textId="77777777" w:rsidR="003C0F50" w:rsidRPr="003C0F50" w:rsidRDefault="003C0F50" w:rsidP="003C0F50">
      <w:pPr>
        <w:rPr>
          <w:sz w:val="22"/>
          <w:szCs w:val="22"/>
        </w:rPr>
      </w:pPr>
      <w:r w:rsidRPr="003C0F50">
        <w:rPr>
          <w:sz w:val="22"/>
          <w:szCs w:val="22"/>
        </w:rPr>
        <w:t xml:space="preserve">In domestic violence cases involving recantation, the defense theory should be carefully structured around the position that the </w:t>
      </w:r>
      <w:r w:rsidRPr="003C0F50">
        <w:rPr>
          <w:i/>
          <w:iCs/>
          <w:sz w:val="22"/>
          <w:szCs w:val="22"/>
        </w:rPr>
        <w:t>original allegation was fabricated</w:t>
      </w:r>
      <w:r w:rsidRPr="003C0F50">
        <w:rPr>
          <w:sz w:val="22"/>
          <w:szCs w:val="22"/>
        </w:rPr>
        <w:t xml:space="preserve">, and that the </w:t>
      </w:r>
      <w:r w:rsidRPr="003C0F50">
        <w:rPr>
          <w:i/>
          <w:iCs/>
          <w:sz w:val="22"/>
          <w:szCs w:val="22"/>
        </w:rPr>
        <w:t>recantation reflects the truth</w:t>
      </w:r>
      <w:r w:rsidRPr="003C0F50">
        <w:rPr>
          <w:sz w:val="22"/>
          <w:szCs w:val="22"/>
        </w:rPr>
        <w:t>. This theory must offer the jury a plausible and coherent explanation for why a false report may have been made, and why the later retraction is credible.</w:t>
      </w:r>
    </w:p>
    <w:p w14:paraId="2BE6C5F7" w14:textId="77777777" w:rsidR="003C0F50" w:rsidRPr="003C0F50" w:rsidRDefault="003C0F50" w:rsidP="003C0F50">
      <w:pPr>
        <w:rPr>
          <w:sz w:val="22"/>
          <w:szCs w:val="22"/>
        </w:rPr>
      </w:pPr>
      <w:r w:rsidRPr="003C0F50">
        <w:rPr>
          <w:sz w:val="22"/>
          <w:szCs w:val="22"/>
        </w:rPr>
        <w:t xml:space="preserve">There are </w:t>
      </w:r>
      <w:proofErr w:type="gramStart"/>
      <w:r w:rsidRPr="003C0F50">
        <w:rPr>
          <w:sz w:val="22"/>
          <w:szCs w:val="22"/>
        </w:rPr>
        <w:t>a number of</w:t>
      </w:r>
      <w:proofErr w:type="gramEnd"/>
      <w:r w:rsidRPr="003C0F50">
        <w:rPr>
          <w:sz w:val="22"/>
          <w:szCs w:val="22"/>
        </w:rPr>
        <w:t xml:space="preserve"> reasons why an individual might fabricate a domestic violence allegation. In some cases, accusations arise out of anger, jealousy, or the emotional volatility that often accompanies the end of a relationship. In others, there may be strategic motives—such as gaining an advantage in a custody dispute, eviction process, or immigration matter. Family or peer pressure may also play a role, as can the presence of substance use, mental health issues, or misinterpretation of events. A well-prepared defense should anticipate these possibilities and incorporate them into a broader narrative that the jury can understand and relate to.</w:t>
      </w:r>
    </w:p>
    <w:p w14:paraId="4F455B63" w14:textId="77777777" w:rsidR="003C0F50" w:rsidRPr="00A24502" w:rsidRDefault="003C0F50" w:rsidP="003C0F50">
      <w:pPr>
        <w:rPr>
          <w:sz w:val="22"/>
          <w:szCs w:val="22"/>
        </w:rPr>
      </w:pPr>
      <w:r w:rsidRPr="003C0F50">
        <w:rPr>
          <w:sz w:val="22"/>
          <w:szCs w:val="22"/>
        </w:rPr>
        <w:t xml:space="preserve">Equally important is the evidentiary framework through which this theory must be presented. Domestic violence cases often rely heavily on </w:t>
      </w:r>
      <w:r w:rsidRPr="003C0F50">
        <w:rPr>
          <w:b/>
          <w:bCs/>
          <w:sz w:val="22"/>
          <w:szCs w:val="22"/>
        </w:rPr>
        <w:t>out-of-court statements</w:t>
      </w:r>
      <w:r w:rsidRPr="003C0F50">
        <w:rPr>
          <w:sz w:val="22"/>
          <w:szCs w:val="22"/>
        </w:rPr>
        <w:t xml:space="preserve"> made to law enforcement, medical personnel, or others. These statements are frequently introduced under hearsay exceptions such as excited utterances, statements for medical diagnosis, or recorded recollections. The defense must be proactive in challenging the admissibility of such statements. Using the </w:t>
      </w:r>
      <w:r w:rsidRPr="003C0F50">
        <w:rPr>
          <w:b/>
          <w:bCs/>
          <w:sz w:val="22"/>
          <w:szCs w:val="22"/>
        </w:rPr>
        <w:t xml:space="preserve">Rules of </w:t>
      </w:r>
      <w:proofErr w:type="gramStart"/>
      <w:r w:rsidRPr="003C0F50">
        <w:rPr>
          <w:b/>
          <w:bCs/>
          <w:sz w:val="22"/>
          <w:szCs w:val="22"/>
        </w:rPr>
        <w:t>Evidence—</w:t>
      </w:r>
      <w:proofErr w:type="gramEnd"/>
      <w:r w:rsidRPr="003C0F50">
        <w:rPr>
          <w:b/>
          <w:bCs/>
          <w:sz w:val="22"/>
          <w:szCs w:val="22"/>
        </w:rPr>
        <w:t>particularly ER 801, 802, and 803—</w:t>
      </w:r>
      <w:r w:rsidRPr="003C0F50">
        <w:rPr>
          <w:sz w:val="22"/>
          <w:szCs w:val="22"/>
        </w:rPr>
        <w:t xml:space="preserve"> the defense should seek to </w:t>
      </w:r>
      <w:r w:rsidRPr="003C0F50">
        <w:rPr>
          <w:b/>
          <w:bCs/>
          <w:sz w:val="22"/>
          <w:szCs w:val="22"/>
        </w:rPr>
        <w:t>exclude prior statements whenever possible</w:t>
      </w:r>
      <w:r w:rsidRPr="003C0F50">
        <w:rPr>
          <w:sz w:val="22"/>
          <w:szCs w:val="22"/>
        </w:rPr>
        <w:t>, especially when they are inconsistent with in-court testimony or are not subject to meaningful cross-examination. Where exclusion is not possible, the defense must be prepared to minimize their weight and credibility in the eyes of the jury.</w:t>
      </w:r>
    </w:p>
    <w:p w14:paraId="337E2772" w14:textId="77777777" w:rsidR="003C0F50" w:rsidRPr="00A24502" w:rsidRDefault="003C0F50" w:rsidP="003C0F50">
      <w:pPr>
        <w:rPr>
          <w:sz w:val="22"/>
          <w:szCs w:val="22"/>
        </w:rPr>
      </w:pPr>
      <w:r w:rsidRPr="00A24502">
        <w:rPr>
          <w:sz w:val="22"/>
          <w:szCs w:val="22"/>
        </w:rPr>
        <w:t xml:space="preserve">It is also important to distinguish between cases in which the alleged victim actively recants and either testifies at trial or cooperates with the defense, and those in which the alleged victim refuses to cooperate further and does not testify at all. In cases involving </w:t>
      </w:r>
      <w:r w:rsidRPr="00A24502">
        <w:rPr>
          <w:b/>
          <w:bCs/>
          <w:sz w:val="22"/>
          <w:szCs w:val="22"/>
        </w:rPr>
        <w:t>an active recantation and testimony under oath</w:t>
      </w:r>
      <w:r w:rsidRPr="00A24502">
        <w:rPr>
          <w:sz w:val="22"/>
          <w:szCs w:val="22"/>
        </w:rPr>
        <w:t xml:space="preserve">, the defense is in a stronger position to argue that the complainant’s current version of events is more credible than the initial report, particularly when the recantation is detailed, consistent, and uncoerced. The defense can directly develop the recantation through examination and contrast it with the prosecution’s out-of-court evidence, highlighting the lack of corroboration or reliability. </w:t>
      </w:r>
    </w:p>
    <w:p w14:paraId="1818A6B7" w14:textId="00896F44" w:rsidR="003C0F50" w:rsidRPr="00A24502" w:rsidRDefault="003C0F50" w:rsidP="003C0F50">
      <w:pPr>
        <w:rPr>
          <w:sz w:val="22"/>
          <w:szCs w:val="22"/>
        </w:rPr>
      </w:pPr>
      <w:r w:rsidRPr="00A24502">
        <w:rPr>
          <w:sz w:val="22"/>
          <w:szCs w:val="22"/>
        </w:rPr>
        <w:t xml:space="preserve">On the other hand, when the complainant </w:t>
      </w:r>
      <w:r w:rsidRPr="00A24502">
        <w:rPr>
          <w:b/>
          <w:bCs/>
          <w:sz w:val="22"/>
          <w:szCs w:val="22"/>
        </w:rPr>
        <w:t>refuses to testify or make further statements</w:t>
      </w:r>
      <w:r w:rsidRPr="00A24502">
        <w:rPr>
          <w:sz w:val="22"/>
          <w:szCs w:val="22"/>
        </w:rPr>
        <w:t xml:space="preserve">, the prosecution may attempt to rely on hearsay exceptions to introduce the original allegations through police officers, medical personnel, or other third-party witnesses. In those instances, the defense must be vigilant in </w:t>
      </w:r>
      <w:r w:rsidRPr="00A24502">
        <w:rPr>
          <w:b/>
          <w:bCs/>
          <w:sz w:val="22"/>
          <w:szCs w:val="22"/>
        </w:rPr>
        <w:t>challenging the admissibility of those out-of-court statements</w:t>
      </w:r>
      <w:r w:rsidRPr="00A24502">
        <w:rPr>
          <w:sz w:val="22"/>
          <w:szCs w:val="22"/>
        </w:rPr>
        <w:t xml:space="preserve"> under ER 802 and its </w:t>
      </w:r>
      <w:proofErr w:type="gramStart"/>
      <w:r w:rsidRPr="00A24502">
        <w:rPr>
          <w:sz w:val="22"/>
          <w:szCs w:val="22"/>
        </w:rPr>
        <w:t>exceptions, and</w:t>
      </w:r>
      <w:proofErr w:type="gramEnd"/>
      <w:r w:rsidRPr="00A24502">
        <w:rPr>
          <w:sz w:val="22"/>
          <w:szCs w:val="22"/>
        </w:rPr>
        <w:t xml:space="preserve"> must raise </w:t>
      </w:r>
      <w:r w:rsidRPr="00A24502">
        <w:rPr>
          <w:b/>
          <w:bCs/>
          <w:sz w:val="22"/>
          <w:szCs w:val="22"/>
        </w:rPr>
        <w:t>confrontation clause objections</w:t>
      </w:r>
      <w:r w:rsidRPr="00A24502">
        <w:rPr>
          <w:sz w:val="22"/>
          <w:szCs w:val="22"/>
        </w:rPr>
        <w:t xml:space="preserve"> under </w:t>
      </w:r>
      <w:r w:rsidRPr="00A24502">
        <w:rPr>
          <w:i/>
          <w:iCs/>
          <w:sz w:val="22"/>
          <w:szCs w:val="22"/>
        </w:rPr>
        <w:t xml:space="preserve">Crawford v. </w:t>
      </w:r>
      <w:r w:rsidRPr="00A24502">
        <w:rPr>
          <w:i/>
          <w:iCs/>
          <w:sz w:val="22"/>
          <w:szCs w:val="22"/>
        </w:rPr>
        <w:lastRenderedPageBreak/>
        <w:t>Washington</w:t>
      </w:r>
      <w:r w:rsidRPr="00A24502">
        <w:rPr>
          <w:sz w:val="22"/>
          <w:szCs w:val="22"/>
        </w:rPr>
        <w:t>, 541 U.S. 36 (2004), particularly if the prior statements were testimonial in nature and the defendant is denied an opportunity to cross-examine the declarant. These distinctions are critical, as they determine both the structure of the defense and the extent to which prior statements can be excluded or undermined at trial.</w:t>
      </w:r>
    </w:p>
    <w:p w14:paraId="29797169" w14:textId="77777777" w:rsidR="005504D0" w:rsidRPr="005504D0" w:rsidRDefault="005504D0" w:rsidP="005504D0">
      <w:pPr>
        <w:rPr>
          <w:sz w:val="22"/>
          <w:szCs w:val="22"/>
        </w:rPr>
      </w:pPr>
      <w:r w:rsidRPr="005504D0">
        <w:rPr>
          <w:sz w:val="22"/>
          <w:szCs w:val="22"/>
        </w:rPr>
        <w:t xml:space="preserve">The prohibition against hearsay is rooted primarily in </w:t>
      </w:r>
      <w:r w:rsidRPr="005504D0">
        <w:rPr>
          <w:b/>
          <w:bCs/>
          <w:sz w:val="22"/>
          <w:szCs w:val="22"/>
        </w:rPr>
        <w:t>common-law evidentiary principles</w:t>
      </w:r>
      <w:r w:rsidRPr="005504D0">
        <w:rPr>
          <w:sz w:val="22"/>
          <w:szCs w:val="22"/>
        </w:rPr>
        <w:t>, rather than in constitutional guarantees. The rules against hearsay developed historically at common law because courts recognized that statements made outside of the courtroom, without the safeguards of oath, confrontation, and cross-examination, inherently lacked reliability and posed risks of misunderstanding or misrepresentation.</w:t>
      </w:r>
    </w:p>
    <w:p w14:paraId="33009EA4" w14:textId="77777777" w:rsidR="005504D0" w:rsidRPr="005504D0" w:rsidRDefault="005504D0" w:rsidP="005504D0">
      <w:pPr>
        <w:rPr>
          <w:sz w:val="22"/>
          <w:szCs w:val="22"/>
        </w:rPr>
      </w:pPr>
      <w:r w:rsidRPr="005504D0">
        <w:rPr>
          <w:sz w:val="22"/>
          <w:szCs w:val="22"/>
        </w:rPr>
        <w:t>In modern American jurisprudence, hearsay rules are codified in evidence rules such as the Federal Rules of Evidence (particularly Rules 801–807), and state evidence rules (such as Washington's ER 801–807). These rules specify which types of out-of-court statements are inadmissible, define exceptions to the hearsay rule, and identify categories of statements not considered hearsay at all.</w:t>
      </w:r>
    </w:p>
    <w:p w14:paraId="39D2B6B8" w14:textId="412A56D5" w:rsidR="005504D0" w:rsidRPr="005504D0" w:rsidRDefault="005504D0" w:rsidP="005504D0">
      <w:pPr>
        <w:rPr>
          <w:sz w:val="22"/>
          <w:szCs w:val="22"/>
        </w:rPr>
      </w:pPr>
      <w:r w:rsidRPr="005504D0">
        <w:rPr>
          <w:sz w:val="22"/>
          <w:szCs w:val="22"/>
        </w:rPr>
        <w:t xml:space="preserve">Although the hearsay prohibition itself arises from common-law principles, the </w:t>
      </w:r>
      <w:r w:rsidRPr="005504D0">
        <w:rPr>
          <w:b/>
          <w:bCs/>
          <w:sz w:val="22"/>
          <w:szCs w:val="22"/>
        </w:rPr>
        <w:t>right to confrontation</w:t>
      </w:r>
      <w:r w:rsidRPr="005504D0">
        <w:rPr>
          <w:sz w:val="22"/>
          <w:szCs w:val="22"/>
        </w:rPr>
        <w:t xml:space="preserve"> under the Sixth Amendment of the U.S. Constitution has significant overlap with hearsay considerations. The Confrontation Clause ensures defendants the right to confront and cross-examine the witnesses against them. In the landmark decision </w:t>
      </w:r>
      <w:r w:rsidRPr="005504D0">
        <w:rPr>
          <w:i/>
          <w:iCs/>
          <w:sz w:val="22"/>
          <w:szCs w:val="22"/>
        </w:rPr>
        <w:t>Crawford v. Washington</w:t>
      </w:r>
      <w:r w:rsidRPr="005504D0">
        <w:rPr>
          <w:sz w:val="22"/>
          <w:szCs w:val="22"/>
        </w:rPr>
        <w:t xml:space="preserve">, 541 U.S. 36 (2004), the Supreme Court clarified that this constitutional right is implicated when hearsay statements are "testimonial" in nature. Under </w:t>
      </w:r>
      <w:r w:rsidRPr="005504D0">
        <w:rPr>
          <w:i/>
          <w:iCs/>
          <w:sz w:val="22"/>
          <w:szCs w:val="22"/>
        </w:rPr>
        <w:t>Crawford</w:t>
      </w:r>
      <w:r w:rsidRPr="005504D0">
        <w:rPr>
          <w:sz w:val="22"/>
          <w:szCs w:val="22"/>
        </w:rPr>
        <w:t>, even statements admissible under hearsay exceptions may be constitutionally barred if they are testimonial, unless the defendant had a prior opportunity to cross-examine the unavailable witness.</w:t>
      </w:r>
      <w:r w:rsidRPr="00A24502">
        <w:rPr>
          <w:rStyle w:val="EndnoteReference"/>
          <w:sz w:val="22"/>
          <w:szCs w:val="22"/>
        </w:rPr>
        <w:endnoteReference w:id="1"/>
      </w:r>
    </w:p>
    <w:p w14:paraId="63B89313" w14:textId="77777777" w:rsidR="005504D0" w:rsidRPr="005504D0" w:rsidRDefault="005504D0" w:rsidP="005504D0">
      <w:pPr>
        <w:rPr>
          <w:sz w:val="22"/>
          <w:szCs w:val="22"/>
        </w:rPr>
      </w:pPr>
      <w:r w:rsidRPr="005504D0">
        <w:rPr>
          <w:sz w:val="22"/>
          <w:szCs w:val="22"/>
        </w:rPr>
        <w:t>In short, while hearsay rules themselves originate from common law traditions focused on evidentiary reliability, certain hearsay issues—specifically, testimonial statements—also implicate constitutional guarantees under the Confrontation Clause.</w:t>
      </w:r>
    </w:p>
    <w:p w14:paraId="32CFC9D2" w14:textId="25DCE064" w:rsidR="003C0F50" w:rsidRPr="003C0F50" w:rsidRDefault="003C0F50" w:rsidP="003C0F50">
      <w:pPr>
        <w:rPr>
          <w:sz w:val="22"/>
          <w:szCs w:val="22"/>
        </w:rPr>
      </w:pPr>
      <w:r w:rsidRPr="00A24502">
        <w:rPr>
          <w:sz w:val="22"/>
          <w:szCs w:val="22"/>
        </w:rPr>
        <w:t>Where the alleged victim has recanted, t</w:t>
      </w:r>
      <w:r w:rsidRPr="003C0F50">
        <w:rPr>
          <w:sz w:val="22"/>
          <w:szCs w:val="22"/>
        </w:rPr>
        <w:t>he prosecution will often argue that the recantation is the result of coercion, fear, or manipulation. It is therefore essential that the defense demonstrate why the recantation is not only plausible but reliable. This may include pointing to the complainant’s demeanor when recanting, the absence of corroborating physical evidence, or inconsistencies between the original report and objective facts. When a complainant testifies under oath and disavows the original statement, or provides an alternative version of events, the defense must be ready to argue that this later account is credible and not the product of external pressure.</w:t>
      </w:r>
    </w:p>
    <w:p w14:paraId="687E437F" w14:textId="1589DC20" w:rsidR="003C0F50" w:rsidRPr="003C0F50" w:rsidRDefault="003C0F50" w:rsidP="003C0F50">
      <w:pPr>
        <w:rPr>
          <w:sz w:val="22"/>
          <w:szCs w:val="22"/>
        </w:rPr>
      </w:pPr>
      <w:r w:rsidRPr="003C0F50">
        <w:rPr>
          <w:sz w:val="22"/>
          <w:szCs w:val="22"/>
        </w:rPr>
        <w:t xml:space="preserve">Importantly, the defense should not rely on attacking the complainant’s character in recantation cases. </w:t>
      </w:r>
      <w:r w:rsidR="00DC73E1" w:rsidRPr="00A24502">
        <w:rPr>
          <w:sz w:val="22"/>
          <w:szCs w:val="22"/>
        </w:rPr>
        <w:t xml:space="preserve"> The recantation should be evidence that the alleged victim is attempting to redeem her or his character and do the right thing.  T</w:t>
      </w:r>
      <w:r w:rsidRPr="003C0F50">
        <w:rPr>
          <w:sz w:val="22"/>
          <w:szCs w:val="22"/>
        </w:rPr>
        <w:t>he strategy should be to humanize the situation: to show that people can make impulsive decisions in moments of anger or distress, and that it is both reasonable and just to believe someone who later tries to correct a false report. Jurors often respond to narratives grounded in accountability, fairness, and emotional honesty.</w:t>
      </w:r>
    </w:p>
    <w:p w14:paraId="4EF0408B" w14:textId="77777777" w:rsidR="003C0F50" w:rsidRPr="003C0F50" w:rsidRDefault="003C0F50" w:rsidP="003C0F50">
      <w:pPr>
        <w:rPr>
          <w:sz w:val="22"/>
          <w:szCs w:val="22"/>
        </w:rPr>
      </w:pPr>
      <w:r w:rsidRPr="003C0F50">
        <w:rPr>
          <w:sz w:val="22"/>
          <w:szCs w:val="22"/>
        </w:rPr>
        <w:lastRenderedPageBreak/>
        <w:t>The defense theme should consistently reinforce the idea that the recantation is not a retreat from truth, but an effort to restore it. Phrases such as, “This case is not about what was said in the heat of the moment, but what has been said consistently since,” can be effective. The goal is to present the jury with a rational, evidence-based reason to doubt the original accusation and to conclude that the reasonable interpretation of the facts supports acquittal.</w:t>
      </w:r>
    </w:p>
    <w:p w14:paraId="4C11A451" w14:textId="77777777" w:rsidR="003C0F50" w:rsidRPr="003C0F50" w:rsidRDefault="003C0F50" w:rsidP="003C0F50">
      <w:pPr>
        <w:rPr>
          <w:sz w:val="22"/>
          <w:szCs w:val="22"/>
        </w:rPr>
      </w:pPr>
      <w:r w:rsidRPr="003C0F50">
        <w:rPr>
          <w:sz w:val="22"/>
          <w:szCs w:val="22"/>
        </w:rPr>
        <w:t xml:space="preserve">By contrast, in cases where the complainant does not recant and maintains the original allegations, the defense must take a different approach. In those situations, a careful and ethical challenge to the complainant’s credibility may be not only appropriate, but necessary. The defense must explore all avenues for exposing potential </w:t>
      </w:r>
      <w:r w:rsidRPr="003C0F50">
        <w:rPr>
          <w:b/>
          <w:bCs/>
          <w:sz w:val="22"/>
          <w:szCs w:val="22"/>
        </w:rPr>
        <w:t>motivations to fabricate or exaggerate</w:t>
      </w:r>
      <w:r w:rsidRPr="003C0F50">
        <w:rPr>
          <w:sz w:val="22"/>
          <w:szCs w:val="22"/>
        </w:rPr>
        <w:t xml:space="preserve">, such as jealousy, anger, custody disputes, financial leverage, or other personal or strategic interests. Where the complainant has made </w:t>
      </w:r>
      <w:r w:rsidRPr="003C0F50">
        <w:rPr>
          <w:b/>
          <w:bCs/>
          <w:sz w:val="22"/>
          <w:szCs w:val="22"/>
        </w:rPr>
        <w:t xml:space="preserve">prior false </w:t>
      </w:r>
      <w:proofErr w:type="gramStart"/>
      <w:r w:rsidRPr="003C0F50">
        <w:rPr>
          <w:b/>
          <w:bCs/>
          <w:sz w:val="22"/>
          <w:szCs w:val="22"/>
        </w:rPr>
        <w:t>accusations</w:t>
      </w:r>
      <w:r w:rsidRPr="003C0F50">
        <w:rPr>
          <w:sz w:val="22"/>
          <w:szCs w:val="22"/>
        </w:rPr>
        <w:t>—</w:t>
      </w:r>
      <w:proofErr w:type="gramEnd"/>
      <w:r w:rsidRPr="003C0F50">
        <w:rPr>
          <w:sz w:val="22"/>
          <w:szCs w:val="22"/>
        </w:rPr>
        <w:t>whether in this context or others—those incidents may be admissible under ER 608 or ER 404(b), provided they are relevant and not unduly prejudicial, and the defense should be prepared to litigate admissibility pretrial.</w:t>
      </w:r>
    </w:p>
    <w:p w14:paraId="5BD99F80" w14:textId="77777777" w:rsidR="003C0F50" w:rsidRPr="003C0F50" w:rsidRDefault="003C0F50" w:rsidP="003C0F50">
      <w:pPr>
        <w:rPr>
          <w:sz w:val="22"/>
          <w:szCs w:val="22"/>
        </w:rPr>
      </w:pPr>
      <w:r w:rsidRPr="003C0F50">
        <w:rPr>
          <w:sz w:val="22"/>
          <w:szCs w:val="22"/>
        </w:rPr>
        <w:t xml:space="preserve">A thorough review of discovery often reveals </w:t>
      </w:r>
      <w:r w:rsidRPr="003C0F50">
        <w:rPr>
          <w:b/>
          <w:bCs/>
          <w:sz w:val="22"/>
          <w:szCs w:val="22"/>
        </w:rPr>
        <w:t>inconsistencies between the complainant’s initial report, subsequent statements, and trial testimony</w:t>
      </w:r>
      <w:r w:rsidRPr="003C0F50">
        <w:rPr>
          <w:sz w:val="22"/>
          <w:szCs w:val="22"/>
        </w:rPr>
        <w:t>. These inconsistencies may be used to impeach the witness under ER 607 or ER 613. When possible, the defense should identify key contradictions in the record—whether from police reports, body-worn camera footage, 911 calls, forensic evidence, or third-party witnesses—and prepare to confront the complainant with those discrepancies. In some cases, a prior statement may be admissible not just for impeachment but also substantively under ER 801(d)(1)(</w:t>
      </w:r>
      <w:proofErr w:type="spellStart"/>
      <w:r w:rsidRPr="003C0F50">
        <w:rPr>
          <w:sz w:val="22"/>
          <w:szCs w:val="22"/>
        </w:rPr>
        <w:t>i</w:t>
      </w:r>
      <w:proofErr w:type="spellEnd"/>
      <w:r w:rsidRPr="003C0F50">
        <w:rPr>
          <w:sz w:val="22"/>
          <w:szCs w:val="22"/>
        </w:rPr>
        <w:t>), if it was made under oath in a prior proceeding and is inconsistent with trial testimony.</w:t>
      </w:r>
    </w:p>
    <w:p w14:paraId="46C8D6CE" w14:textId="77777777" w:rsidR="003C0F50" w:rsidRPr="003C0F50" w:rsidRDefault="003C0F50" w:rsidP="003C0F50">
      <w:pPr>
        <w:rPr>
          <w:sz w:val="22"/>
          <w:szCs w:val="22"/>
        </w:rPr>
      </w:pPr>
      <w:r w:rsidRPr="003C0F50">
        <w:rPr>
          <w:sz w:val="22"/>
          <w:szCs w:val="22"/>
        </w:rPr>
        <w:t xml:space="preserve">Additionally, the defense should consider presenting </w:t>
      </w:r>
      <w:r w:rsidRPr="003C0F50">
        <w:rPr>
          <w:b/>
          <w:bCs/>
          <w:sz w:val="22"/>
          <w:szCs w:val="22"/>
        </w:rPr>
        <w:t>affirmative evidence that directly contradicts the complainant’s version of events</w:t>
      </w:r>
      <w:r w:rsidRPr="003C0F50">
        <w:rPr>
          <w:sz w:val="22"/>
          <w:szCs w:val="22"/>
        </w:rPr>
        <w:t xml:space="preserve">. This could include witnesses to the incident, text messages or social media posts, surveillance footage, or medical or forensic reports that undermine the prosecution’s theory. In such cases, where the prosecution’s case largely turns on the complainant’s credibility, the defense may reasonably argue that the complainant’s </w:t>
      </w:r>
      <w:r w:rsidRPr="003C0F50">
        <w:rPr>
          <w:b/>
          <w:bCs/>
          <w:sz w:val="22"/>
          <w:szCs w:val="22"/>
        </w:rPr>
        <w:t>character for truthfulness</w:t>
      </w:r>
      <w:r w:rsidRPr="003C0F50">
        <w:rPr>
          <w:sz w:val="22"/>
          <w:szCs w:val="22"/>
        </w:rPr>
        <w:t xml:space="preserve">—or lack thereof—is central to the outcome. Framing the case around whether the jury can trust the complainant allows the defense to draw the jury’s attention to inconsistencies, bias, and the absence of corroborating evidence, all of which </w:t>
      </w:r>
      <w:proofErr w:type="gramStart"/>
      <w:r w:rsidRPr="003C0F50">
        <w:rPr>
          <w:sz w:val="22"/>
          <w:szCs w:val="22"/>
        </w:rPr>
        <w:t>support</w:t>
      </w:r>
      <w:proofErr w:type="gramEnd"/>
      <w:r w:rsidRPr="003C0F50">
        <w:rPr>
          <w:sz w:val="22"/>
          <w:szCs w:val="22"/>
        </w:rPr>
        <w:t xml:space="preserve"> </w:t>
      </w:r>
      <w:proofErr w:type="gramStart"/>
      <w:r w:rsidRPr="003C0F50">
        <w:rPr>
          <w:sz w:val="22"/>
          <w:szCs w:val="22"/>
        </w:rPr>
        <w:t>a finding</w:t>
      </w:r>
      <w:proofErr w:type="gramEnd"/>
      <w:r w:rsidRPr="003C0F50">
        <w:rPr>
          <w:sz w:val="22"/>
          <w:szCs w:val="22"/>
        </w:rPr>
        <w:t xml:space="preserve"> of reasonable doubt.</w:t>
      </w:r>
    </w:p>
    <w:p w14:paraId="10CFA220" w14:textId="77777777" w:rsidR="003C0F50" w:rsidRPr="003C0F50" w:rsidRDefault="003C0F50" w:rsidP="003C0F50">
      <w:pPr>
        <w:rPr>
          <w:sz w:val="22"/>
          <w:szCs w:val="22"/>
        </w:rPr>
      </w:pPr>
      <w:r w:rsidRPr="003C0F50">
        <w:rPr>
          <w:sz w:val="22"/>
          <w:szCs w:val="22"/>
        </w:rPr>
        <w:t>Ultimately, the defense must be tailored to the facts of the case and the posture of the alleged victim. Where recantation exists, the focus should be on truth-telling and restoration. Where it does not, the defense may need to confront the complainant’s credibility more directly, always grounded in evidence, ethics, and a coherent theory of innocence.</w:t>
      </w:r>
    </w:p>
    <w:p w14:paraId="67835360" w14:textId="77777777" w:rsidR="003C0F50" w:rsidRPr="00A24502" w:rsidRDefault="003C0F50" w:rsidP="00CB6E21">
      <w:pPr>
        <w:rPr>
          <w:sz w:val="22"/>
          <w:szCs w:val="22"/>
        </w:rPr>
      </w:pPr>
    </w:p>
    <w:p w14:paraId="5F73BBA9" w14:textId="4AACB2B0" w:rsidR="00DC73E1" w:rsidRPr="00A24502" w:rsidRDefault="00DC73E1" w:rsidP="00DC73E1">
      <w:pPr>
        <w:pStyle w:val="ListParagraph"/>
        <w:numPr>
          <w:ilvl w:val="0"/>
          <w:numId w:val="8"/>
        </w:numPr>
        <w:outlineLvl w:val="0"/>
        <w:rPr>
          <w:b/>
          <w:bCs/>
          <w:sz w:val="22"/>
          <w:szCs w:val="22"/>
        </w:rPr>
      </w:pPr>
      <w:bookmarkStart w:id="1" w:name="_Toc196247719"/>
      <w:r w:rsidRPr="00A24502">
        <w:rPr>
          <w:b/>
          <w:bCs/>
          <w:sz w:val="22"/>
          <w:szCs w:val="22"/>
        </w:rPr>
        <w:t>THE EVIDENTIARY FRAMEWORK OF EXTRAJUDICIAL STATEMENTS</w:t>
      </w:r>
      <w:bookmarkEnd w:id="1"/>
    </w:p>
    <w:p w14:paraId="2C7BFE96" w14:textId="77777777" w:rsidR="001F70E5" w:rsidRPr="00A24502" w:rsidRDefault="001F70E5" w:rsidP="001F70E5">
      <w:pPr>
        <w:rPr>
          <w:sz w:val="22"/>
          <w:szCs w:val="22"/>
        </w:rPr>
      </w:pPr>
      <w:r w:rsidRPr="00A24502">
        <w:rPr>
          <w:sz w:val="22"/>
          <w:szCs w:val="22"/>
        </w:rPr>
        <w:lastRenderedPageBreak/>
        <w:t xml:space="preserve">In a criminal case, extrajudicial </w:t>
      </w:r>
      <w:proofErr w:type="gramStart"/>
      <w:r w:rsidRPr="00A24502">
        <w:rPr>
          <w:sz w:val="22"/>
          <w:szCs w:val="22"/>
        </w:rPr>
        <w:t>statements—those</w:t>
      </w:r>
      <w:proofErr w:type="gramEnd"/>
      <w:r w:rsidRPr="00A24502">
        <w:rPr>
          <w:sz w:val="22"/>
          <w:szCs w:val="22"/>
        </w:rPr>
        <w:t xml:space="preserve"> made outside of the courtroom—are generally presumed to be inadmissible as hearsay if they are offered to prove the truth of the matter asserted, under Washington Rule of Evidence (ER) 801(c). However, the Washington Rules of Evidence identify both statements that are excluded from the hearsay definition entirely and statements that are considered hearsay but are nevertheless admissible under specified exceptions.</w:t>
      </w:r>
    </w:p>
    <w:p w14:paraId="2B8A4B9E" w14:textId="6B222204" w:rsidR="001F70E5" w:rsidRPr="00A24502" w:rsidRDefault="001F70E5" w:rsidP="001F70E5">
      <w:pPr>
        <w:rPr>
          <w:sz w:val="22"/>
          <w:szCs w:val="22"/>
        </w:rPr>
      </w:pPr>
      <w:r w:rsidRPr="00A24502">
        <w:rPr>
          <w:sz w:val="22"/>
          <w:szCs w:val="22"/>
        </w:rPr>
        <w:t xml:space="preserve">Under ER 801(d), certain prior statements are expressly defined as </w:t>
      </w:r>
      <w:r w:rsidR="003A2689" w:rsidRPr="00A24502">
        <w:rPr>
          <w:sz w:val="22"/>
          <w:szCs w:val="22"/>
        </w:rPr>
        <w:t>“</w:t>
      </w:r>
      <w:r w:rsidRPr="00A24502">
        <w:rPr>
          <w:sz w:val="22"/>
          <w:szCs w:val="22"/>
        </w:rPr>
        <w:t>not hearsay.</w:t>
      </w:r>
      <w:r w:rsidR="003A2689" w:rsidRPr="00A24502">
        <w:rPr>
          <w:sz w:val="22"/>
          <w:szCs w:val="22"/>
        </w:rPr>
        <w:t xml:space="preserve">” </w:t>
      </w:r>
      <w:r w:rsidRPr="00A24502">
        <w:rPr>
          <w:sz w:val="22"/>
          <w:szCs w:val="22"/>
        </w:rPr>
        <w:t xml:space="preserve"> These include a declarant-witness’s prior inconsistent statement, provided it was made under oath at a trial, hearing, or other proceeding or in a deposition (ER 801(d)(1)(</w:t>
      </w:r>
      <w:proofErr w:type="spellStart"/>
      <w:r w:rsidRPr="00A24502">
        <w:rPr>
          <w:sz w:val="22"/>
          <w:szCs w:val="22"/>
        </w:rPr>
        <w:t>i</w:t>
      </w:r>
      <w:proofErr w:type="spellEnd"/>
      <w:r w:rsidRPr="00A24502">
        <w:rPr>
          <w:sz w:val="22"/>
          <w:szCs w:val="22"/>
        </w:rPr>
        <w:t>)); a prior consistent statement offered to rebut a charge of recent fabrication or improper influence or motive, again provided the declarant testifies and is subject to cross-examination (ER 801(d)(1)(ii)); and a statement of identification of a person made after perceiving the person (ER 801(d)(1)(iii)). Additionally, ER 801(d)(2) defines admissions by a party-opponent as non-hearsay, including the party’s own statement (ER 801(d)(2)(</w:t>
      </w:r>
      <w:proofErr w:type="spellStart"/>
      <w:r w:rsidRPr="00A24502">
        <w:rPr>
          <w:sz w:val="22"/>
          <w:szCs w:val="22"/>
        </w:rPr>
        <w:t>i</w:t>
      </w:r>
      <w:proofErr w:type="spellEnd"/>
      <w:r w:rsidRPr="00A24502">
        <w:rPr>
          <w:sz w:val="22"/>
          <w:szCs w:val="22"/>
        </w:rPr>
        <w:t>)), a statement the party has adopted (ER 801(d)(2)(ii)), statements made by authorized agents or employees (ER 801(d)(2)(iii)-(iv)), and statements by a co-conspirator made during and in furtherance of the conspiracy (ER 801(d)(2)(v)).</w:t>
      </w:r>
    </w:p>
    <w:p w14:paraId="1FF753BE" w14:textId="77777777" w:rsidR="001F70E5" w:rsidRPr="00A24502" w:rsidRDefault="001F70E5" w:rsidP="001F70E5">
      <w:pPr>
        <w:rPr>
          <w:sz w:val="22"/>
          <w:szCs w:val="22"/>
        </w:rPr>
      </w:pPr>
      <w:r w:rsidRPr="00A24502">
        <w:rPr>
          <w:sz w:val="22"/>
          <w:szCs w:val="22"/>
        </w:rPr>
        <w:t>Even if a statement does not fall into one of these non-hearsay categories, it may still be admissible under the hearsay exceptions found in ER 803, which apply regardless of the declarant’s availability. For instance, ER 803(a)(1) permits the admission of a present sense impression—an out-of-court description of an event made while the declarant was perceiving it or immediately thereafter. ER 803(a)(2) allows admission of excited utterances, which are statements made in response to a startling event while the declarant is still under the stress of excitement caused by the event. Under ER 803(a)(4), statements made for the purpose of medical diagnosis or treatment are admissible, provided they are reasonably pertinent to diagnosis or treatment. ER 803(a)(5) permits the admission of recorded recollections if the witness cannot recall the event at trial but can vouch for the accuracy of the record made when the matter was fresh in their memory. ER 803(a)(6) and (a)(8) address business records and public records, respectively, when the proper foundational elements are established.</w:t>
      </w:r>
    </w:p>
    <w:p w14:paraId="7F1FFE44" w14:textId="353F19B9" w:rsidR="001F70E5" w:rsidRPr="00A24502" w:rsidRDefault="001F70E5" w:rsidP="001F70E5">
      <w:pPr>
        <w:rPr>
          <w:sz w:val="22"/>
          <w:szCs w:val="22"/>
        </w:rPr>
      </w:pPr>
      <w:r w:rsidRPr="00A24502">
        <w:rPr>
          <w:sz w:val="22"/>
          <w:szCs w:val="22"/>
        </w:rPr>
        <w:t>Taken together, ER 801 and ER 803 form the doctrinal framework governing the admissibility of out-of-court statements in Washington. They reflect a balance between the evidentiary goal of presenting reliable information to the jury and the constitutional safeguards that protect a defendant's right to confront the witnesses against them.</w:t>
      </w:r>
    </w:p>
    <w:p w14:paraId="5310233C" w14:textId="77777777" w:rsidR="001F70E5" w:rsidRPr="00A24502" w:rsidRDefault="001F70E5" w:rsidP="00CB6E21">
      <w:pPr>
        <w:rPr>
          <w:sz w:val="22"/>
          <w:szCs w:val="22"/>
        </w:rPr>
      </w:pPr>
    </w:p>
    <w:p w14:paraId="1DF61929" w14:textId="56B664A6" w:rsidR="002712F9" w:rsidRPr="00A24502" w:rsidRDefault="002712F9" w:rsidP="00DC73E1">
      <w:pPr>
        <w:pStyle w:val="ListParagraph"/>
        <w:numPr>
          <w:ilvl w:val="0"/>
          <w:numId w:val="8"/>
        </w:numPr>
        <w:outlineLvl w:val="0"/>
        <w:rPr>
          <w:b/>
          <w:bCs/>
          <w:sz w:val="22"/>
          <w:szCs w:val="22"/>
        </w:rPr>
      </w:pPr>
      <w:bookmarkStart w:id="2" w:name="_Toc196247720"/>
      <w:r w:rsidRPr="00A24502">
        <w:rPr>
          <w:b/>
          <w:bCs/>
          <w:sz w:val="22"/>
          <w:szCs w:val="22"/>
        </w:rPr>
        <w:t>HEARSAY OR NOT HEARSAY OR SOME EXCEPTION TO THE RULE</w:t>
      </w:r>
      <w:bookmarkEnd w:id="2"/>
    </w:p>
    <w:p w14:paraId="7B39A878" w14:textId="1B3F07AC" w:rsidR="00CB6E21" w:rsidRPr="00A24502" w:rsidRDefault="00DC73E1" w:rsidP="00CB6E21">
      <w:pPr>
        <w:rPr>
          <w:sz w:val="22"/>
          <w:szCs w:val="22"/>
        </w:rPr>
      </w:pPr>
      <w:r w:rsidRPr="00A24502">
        <w:rPr>
          <w:sz w:val="22"/>
          <w:szCs w:val="22"/>
        </w:rPr>
        <w:t>Extrajudicial statements are</w:t>
      </w:r>
      <w:r w:rsidR="00CB6E21" w:rsidRPr="00A24502">
        <w:rPr>
          <w:sz w:val="22"/>
          <w:szCs w:val="22"/>
        </w:rPr>
        <w:t xml:space="preserve"> the big problem.  What </w:t>
      </w:r>
      <w:r w:rsidR="004F61CE" w:rsidRPr="00A24502">
        <w:rPr>
          <w:sz w:val="22"/>
          <w:szCs w:val="22"/>
        </w:rPr>
        <w:t>the alleged victim</w:t>
      </w:r>
      <w:r w:rsidR="00CB6E21" w:rsidRPr="00A24502">
        <w:rPr>
          <w:sz w:val="22"/>
          <w:szCs w:val="22"/>
        </w:rPr>
        <w:t xml:space="preserve"> said first is </w:t>
      </w:r>
      <w:r w:rsidRPr="00A24502">
        <w:rPr>
          <w:sz w:val="22"/>
          <w:szCs w:val="22"/>
        </w:rPr>
        <w:t xml:space="preserve">the how and the </w:t>
      </w:r>
      <w:r w:rsidR="00CB6E21" w:rsidRPr="00A24502">
        <w:rPr>
          <w:sz w:val="22"/>
          <w:szCs w:val="22"/>
        </w:rPr>
        <w:t xml:space="preserve">why </w:t>
      </w:r>
      <w:r w:rsidRPr="00A24502">
        <w:rPr>
          <w:sz w:val="22"/>
          <w:szCs w:val="22"/>
        </w:rPr>
        <w:t>of ending up in court</w:t>
      </w:r>
      <w:r w:rsidR="00CB6E21" w:rsidRPr="00A24502">
        <w:rPr>
          <w:sz w:val="22"/>
          <w:szCs w:val="22"/>
        </w:rPr>
        <w:t>.</w:t>
      </w:r>
      <w:r w:rsidR="004F61CE" w:rsidRPr="00A24502">
        <w:rPr>
          <w:sz w:val="22"/>
          <w:szCs w:val="22"/>
        </w:rPr>
        <w:t xml:space="preserve">  To map a path to fighting these statements at trial, assuming recantation or non-participation, we must first lay the statements into the framework of non-hearsay and hearsay exceptions.  </w:t>
      </w:r>
    </w:p>
    <w:p w14:paraId="401F17BC" w14:textId="77777777" w:rsidR="00963E79" w:rsidRPr="00CB6E21" w:rsidRDefault="00963E79" w:rsidP="00CB6E21">
      <w:pPr>
        <w:rPr>
          <w:sz w:val="22"/>
          <w:szCs w:val="22"/>
        </w:rPr>
      </w:pPr>
    </w:p>
    <w:p w14:paraId="6E00F389" w14:textId="1ADE9F2A" w:rsidR="00CB6E21" w:rsidRPr="00CB6E21" w:rsidRDefault="00CB6E21" w:rsidP="002712F9">
      <w:pPr>
        <w:pStyle w:val="Heading2"/>
        <w:rPr>
          <w:b/>
          <w:bCs/>
          <w:color w:val="auto"/>
          <w:sz w:val="22"/>
          <w:szCs w:val="22"/>
        </w:rPr>
      </w:pPr>
      <w:bookmarkStart w:id="3" w:name="_Toc196247721"/>
      <w:r w:rsidRPr="00CB6E21">
        <w:rPr>
          <w:b/>
          <w:bCs/>
          <w:color w:val="auto"/>
          <w:sz w:val="22"/>
          <w:szCs w:val="22"/>
        </w:rPr>
        <w:t>Not Hearsay – ER 801(d)</w:t>
      </w:r>
      <w:bookmarkEnd w:id="3"/>
    </w:p>
    <w:p w14:paraId="358BB6FF" w14:textId="77777777" w:rsidR="00CB6E21" w:rsidRPr="00CB6E21" w:rsidRDefault="00CB6E21" w:rsidP="00CB6E21">
      <w:pPr>
        <w:rPr>
          <w:sz w:val="22"/>
          <w:szCs w:val="22"/>
        </w:rPr>
      </w:pPr>
      <w:r w:rsidRPr="00CB6E21">
        <w:rPr>
          <w:sz w:val="22"/>
          <w:szCs w:val="22"/>
        </w:rPr>
        <w:t xml:space="preserve">Certain statements are </w:t>
      </w:r>
      <w:r w:rsidRPr="00CB6E21">
        <w:rPr>
          <w:b/>
          <w:bCs/>
          <w:sz w:val="22"/>
          <w:szCs w:val="22"/>
        </w:rPr>
        <w:t>excluded from hearsay definition</w:t>
      </w:r>
      <w:r w:rsidRPr="00CB6E21">
        <w:rPr>
          <w:sz w:val="22"/>
          <w:szCs w:val="22"/>
        </w:rPr>
        <w:t>:</w:t>
      </w:r>
    </w:p>
    <w:p w14:paraId="4BF82196" w14:textId="41C0AADF" w:rsidR="00CB6E21" w:rsidRPr="00CB6E21" w:rsidRDefault="00CB6E21" w:rsidP="00DC73E1">
      <w:pPr>
        <w:rPr>
          <w:sz w:val="22"/>
          <w:szCs w:val="22"/>
        </w:rPr>
      </w:pPr>
      <w:r w:rsidRPr="00CB6E21">
        <w:rPr>
          <w:sz w:val="22"/>
          <w:szCs w:val="22"/>
        </w:rPr>
        <w:t>Prior Statements by a Witness</w:t>
      </w:r>
      <w:r w:rsidR="00DC73E1" w:rsidRPr="00A24502">
        <w:rPr>
          <w:sz w:val="22"/>
          <w:szCs w:val="22"/>
        </w:rPr>
        <w:t xml:space="preserve"> fall under</w:t>
      </w:r>
      <w:r w:rsidRPr="00CB6E21">
        <w:rPr>
          <w:sz w:val="22"/>
          <w:szCs w:val="22"/>
        </w:rPr>
        <w:t xml:space="preserve"> ER 801(d)(1)</w:t>
      </w:r>
      <w:r w:rsidR="00DC73E1" w:rsidRPr="00A24502">
        <w:rPr>
          <w:sz w:val="22"/>
          <w:szCs w:val="22"/>
        </w:rPr>
        <w:t>.</w:t>
      </w:r>
    </w:p>
    <w:p w14:paraId="172C1FC5" w14:textId="06E6B175" w:rsidR="00CB6E21" w:rsidRPr="00A24502" w:rsidRDefault="00CB6E21" w:rsidP="00CB6E21">
      <w:pPr>
        <w:ind w:left="360"/>
        <w:rPr>
          <w:sz w:val="22"/>
          <w:szCs w:val="22"/>
        </w:rPr>
      </w:pPr>
      <w:r w:rsidRPr="00A24502">
        <w:rPr>
          <w:sz w:val="22"/>
          <w:szCs w:val="22"/>
        </w:rPr>
        <w:t>(1) Prior Statement by Witness. The declarant testifies at the trial or hearing and is subject to cross examination concerning the statement, and the statement is (</w:t>
      </w:r>
      <w:proofErr w:type="spellStart"/>
      <w:r w:rsidRPr="00A24502">
        <w:rPr>
          <w:sz w:val="22"/>
          <w:szCs w:val="22"/>
        </w:rPr>
        <w:t>i</w:t>
      </w:r>
      <w:proofErr w:type="spellEnd"/>
      <w:r w:rsidRPr="00A24502">
        <w:rPr>
          <w:sz w:val="22"/>
          <w:szCs w:val="22"/>
        </w:rPr>
        <w:t>) inconsistent with the declarant's testimony, and was given under oath subject to the penalty of perjury at a trial, hearing, or other proceeding, or in a deposition, or (ii) consistent with the declarant's testimony and is offered to rebut an express or implied charge against the declarant of recent fabrication or improper influence or motive, or (iii) one of identification of a person made after perceiving the person</w:t>
      </w:r>
    </w:p>
    <w:p w14:paraId="6077A00A" w14:textId="1767F4A5" w:rsidR="00CB6E21" w:rsidRPr="00A24502" w:rsidRDefault="005F4572" w:rsidP="005F4572">
      <w:pPr>
        <w:rPr>
          <w:sz w:val="22"/>
          <w:szCs w:val="22"/>
        </w:rPr>
      </w:pPr>
      <w:r w:rsidRPr="00A24502">
        <w:rPr>
          <w:sz w:val="22"/>
          <w:szCs w:val="22"/>
        </w:rPr>
        <w:t xml:space="preserve">This is one of the most problematic hearsay exclusions for the defense, not only in the sense that it allows in a great number of statements that would otherwise be classified as hearsay, but it also forms the basis for some very confusing and difficult case law, which is pretty much the focus of this presentation.  I won’t address </w:t>
      </w:r>
      <w:r w:rsidR="00CB6E21" w:rsidRPr="00CB6E21">
        <w:rPr>
          <w:sz w:val="22"/>
          <w:szCs w:val="22"/>
        </w:rPr>
        <w:t xml:space="preserve">Admissions by a Party-Opponent </w:t>
      </w:r>
      <w:r w:rsidRPr="00A24502">
        <w:rPr>
          <w:sz w:val="22"/>
          <w:szCs w:val="22"/>
        </w:rPr>
        <w:t xml:space="preserve">under </w:t>
      </w:r>
      <w:r w:rsidR="00CB6E21" w:rsidRPr="00CB6E21">
        <w:rPr>
          <w:sz w:val="22"/>
          <w:szCs w:val="22"/>
        </w:rPr>
        <w:t>ER 801(d)(2)</w:t>
      </w:r>
      <w:r w:rsidRPr="00A24502">
        <w:rPr>
          <w:sz w:val="22"/>
          <w:szCs w:val="22"/>
        </w:rPr>
        <w:t xml:space="preserve"> as this exception is </w:t>
      </w:r>
      <w:r w:rsidR="00CB6E21" w:rsidRPr="00A24502">
        <w:rPr>
          <w:sz w:val="22"/>
          <w:szCs w:val="22"/>
        </w:rPr>
        <w:t>not often used in the criminal context because the STATE is the party opponent.</w:t>
      </w:r>
    </w:p>
    <w:p w14:paraId="03D43DD1" w14:textId="77777777" w:rsidR="00963E79" w:rsidRPr="00A24502" w:rsidRDefault="00963E79" w:rsidP="005F4572">
      <w:pPr>
        <w:rPr>
          <w:sz w:val="22"/>
          <w:szCs w:val="22"/>
        </w:rPr>
      </w:pPr>
    </w:p>
    <w:p w14:paraId="6ADB5669" w14:textId="760BD968" w:rsidR="00CB6E21" w:rsidRPr="00CB6E21" w:rsidRDefault="00CB6E21" w:rsidP="002712F9">
      <w:pPr>
        <w:pStyle w:val="Heading2"/>
        <w:rPr>
          <w:b/>
          <w:bCs/>
          <w:color w:val="auto"/>
          <w:sz w:val="22"/>
          <w:szCs w:val="22"/>
        </w:rPr>
      </w:pPr>
      <w:bookmarkStart w:id="4" w:name="_Toc196247722"/>
      <w:r w:rsidRPr="00CB6E21">
        <w:rPr>
          <w:b/>
          <w:bCs/>
          <w:color w:val="auto"/>
          <w:sz w:val="22"/>
          <w:szCs w:val="22"/>
        </w:rPr>
        <w:t>Hearsay Exceptions – Declarant Availability Immaterial (ER 803)</w:t>
      </w:r>
      <w:bookmarkEnd w:id="4"/>
    </w:p>
    <w:p w14:paraId="7B8EF327" w14:textId="77777777" w:rsidR="00CB6E21" w:rsidRPr="00CB6E21" w:rsidRDefault="00CB6E21" w:rsidP="00CB6E21">
      <w:pPr>
        <w:rPr>
          <w:sz w:val="22"/>
          <w:szCs w:val="22"/>
        </w:rPr>
      </w:pPr>
      <w:r w:rsidRPr="00CB6E21">
        <w:rPr>
          <w:sz w:val="22"/>
          <w:szCs w:val="22"/>
        </w:rPr>
        <w:t xml:space="preserve">These apply </w:t>
      </w:r>
      <w:r w:rsidRPr="00CB6E21">
        <w:rPr>
          <w:b/>
          <w:bCs/>
          <w:sz w:val="22"/>
          <w:szCs w:val="22"/>
        </w:rPr>
        <w:t>regardless of whether the declarant is available</w:t>
      </w:r>
      <w:r w:rsidRPr="00CB6E21">
        <w:rPr>
          <w:sz w:val="22"/>
          <w:szCs w:val="22"/>
        </w:rPr>
        <w:t>:</w:t>
      </w:r>
    </w:p>
    <w:p w14:paraId="3613067F" w14:textId="3F4BB61B" w:rsidR="00CB6E21" w:rsidRPr="00A24502" w:rsidRDefault="00CB6E21" w:rsidP="00963E79">
      <w:pPr>
        <w:numPr>
          <w:ilvl w:val="0"/>
          <w:numId w:val="2"/>
        </w:numPr>
        <w:tabs>
          <w:tab w:val="clear" w:pos="720"/>
          <w:tab w:val="num" w:pos="1800"/>
        </w:tabs>
        <w:ind w:left="1800"/>
        <w:rPr>
          <w:sz w:val="22"/>
          <w:szCs w:val="22"/>
          <w:u w:val="single"/>
        </w:rPr>
      </w:pPr>
      <w:r w:rsidRPr="00CB6E21">
        <w:rPr>
          <w:sz w:val="22"/>
          <w:szCs w:val="22"/>
          <w:u w:val="single"/>
        </w:rPr>
        <w:t>Present Sense Impression</w:t>
      </w:r>
      <w:r w:rsidR="00C51FDF" w:rsidRPr="00A24502">
        <w:rPr>
          <w:sz w:val="22"/>
          <w:szCs w:val="22"/>
          <w:u w:val="single"/>
        </w:rPr>
        <w:t>, ER 803(a)(1)</w:t>
      </w:r>
    </w:p>
    <w:p w14:paraId="5C0A6D30" w14:textId="6BD6AF6B" w:rsidR="00CB6E21" w:rsidRPr="00A24502" w:rsidRDefault="00CB6E21" w:rsidP="00CB6E21">
      <w:pPr>
        <w:rPr>
          <w:sz w:val="22"/>
          <w:szCs w:val="22"/>
        </w:rPr>
      </w:pPr>
      <w:r w:rsidRPr="00A24502">
        <w:rPr>
          <w:sz w:val="22"/>
          <w:szCs w:val="22"/>
        </w:rPr>
        <w:t>Th</w:t>
      </w:r>
      <w:r w:rsidR="00C51FDF" w:rsidRPr="00A24502">
        <w:rPr>
          <w:sz w:val="22"/>
          <w:szCs w:val="22"/>
        </w:rPr>
        <w:t>e</w:t>
      </w:r>
      <w:r w:rsidRPr="00A24502">
        <w:rPr>
          <w:sz w:val="22"/>
          <w:szCs w:val="22"/>
        </w:rPr>
        <w:t xml:space="preserve"> present sense impression can be problematic for the defense </w:t>
      </w:r>
      <w:proofErr w:type="gramStart"/>
      <w:r w:rsidRPr="00A24502">
        <w:rPr>
          <w:sz w:val="22"/>
          <w:szCs w:val="22"/>
        </w:rPr>
        <w:t>in</w:t>
      </w:r>
      <w:proofErr w:type="gramEnd"/>
      <w:r w:rsidRPr="00A24502">
        <w:rPr>
          <w:sz w:val="22"/>
          <w:szCs w:val="22"/>
        </w:rPr>
        <w:t xml:space="preserve"> domestic violence and other criminal cases.</w:t>
      </w:r>
    </w:p>
    <w:p w14:paraId="77E1416B" w14:textId="7B876FB0" w:rsidR="00CB6E21" w:rsidRPr="00A24502" w:rsidRDefault="00CB6E21" w:rsidP="00CB6E21">
      <w:pPr>
        <w:ind w:left="720"/>
        <w:rPr>
          <w:sz w:val="22"/>
          <w:szCs w:val="22"/>
        </w:rPr>
      </w:pPr>
      <w:r w:rsidRPr="00A24502">
        <w:rPr>
          <w:sz w:val="22"/>
          <w:szCs w:val="22"/>
        </w:rPr>
        <w:t>Present Sense Impression. A statement describing or explaining an event or condition made while the declarant was perceiving the event or condition, or immediately thereafter.</w:t>
      </w:r>
    </w:p>
    <w:p w14:paraId="7BD15CD2" w14:textId="056E227E" w:rsidR="00CB6E21" w:rsidRPr="00A24502" w:rsidRDefault="00C51FDF" w:rsidP="00CB6E21">
      <w:pPr>
        <w:rPr>
          <w:sz w:val="22"/>
          <w:szCs w:val="22"/>
        </w:rPr>
      </w:pPr>
      <w:r w:rsidRPr="00A24502">
        <w:rPr>
          <w:sz w:val="22"/>
          <w:szCs w:val="22"/>
        </w:rPr>
        <w:t>ER 803(a)(1)</w:t>
      </w:r>
      <w:r w:rsidRPr="00A24502">
        <w:rPr>
          <w:sz w:val="22"/>
          <w:szCs w:val="22"/>
        </w:rPr>
        <w:t xml:space="preserve">. </w:t>
      </w:r>
      <w:r w:rsidRPr="00A24502">
        <w:rPr>
          <w:sz w:val="22"/>
          <w:szCs w:val="22"/>
        </w:rPr>
        <w:t xml:space="preserve"> </w:t>
      </w:r>
      <w:r w:rsidR="00CB6E21" w:rsidRPr="00A24502">
        <w:rPr>
          <w:sz w:val="22"/>
          <w:szCs w:val="22"/>
        </w:rPr>
        <w:t xml:space="preserve">The present sense impression exception to the hearsay rule in Washington allows for the admission of a statement describing or explaining an event or condition made while the declarant was perceiving the event or condition, or immediately thereafter. (Hearsay Exceptions) The statement must be a spontaneous or instinctive utterance of thought, evoked by the occurrence itself, and not a statement of memory or belief. (State v. Martinez, 105 </w:t>
      </w:r>
      <w:proofErr w:type="spellStart"/>
      <w:r w:rsidR="00CB6E21" w:rsidRPr="00A24502">
        <w:rPr>
          <w:sz w:val="22"/>
          <w:szCs w:val="22"/>
        </w:rPr>
        <w:t>Wash.App</w:t>
      </w:r>
      <w:proofErr w:type="spellEnd"/>
      <w:r w:rsidR="00CB6E21" w:rsidRPr="00A24502">
        <w:rPr>
          <w:sz w:val="22"/>
          <w:szCs w:val="22"/>
        </w:rPr>
        <w:t>. 775 20 P.3d 1062 (Wash. App. 2001) 20 P.3d 1067) This exception is narrowly interpreted to avoid admitting evidence where particularized factors guaranteeing trustworthiness are not present. (20 P.3d 1066)</w:t>
      </w:r>
    </w:p>
    <w:p w14:paraId="01BD7801" w14:textId="77777777" w:rsidR="00CB6E21" w:rsidRPr="00A24502" w:rsidRDefault="00CB6E21" w:rsidP="00CB6E21">
      <w:pPr>
        <w:rPr>
          <w:sz w:val="22"/>
          <w:szCs w:val="22"/>
        </w:rPr>
      </w:pPr>
      <w:r w:rsidRPr="00A24502">
        <w:rPr>
          <w:sz w:val="22"/>
          <w:szCs w:val="22"/>
        </w:rPr>
        <w:t xml:space="preserve">In State v. Martinez, the court found that statements made in response to questions do not meet the criteria for present sense impressions, as they lack the spontaneity required by the exception. </w:t>
      </w:r>
      <w:r w:rsidRPr="00A24502">
        <w:rPr>
          <w:sz w:val="22"/>
          <w:szCs w:val="22"/>
        </w:rPr>
        <w:lastRenderedPageBreak/>
        <w:t>(20 P.3d 1067-1068) The court emphasized that the reliability of such statements is questionable without cross-examination, especially when they are inconsistent with police reports and crucial to establishing accomplice liability. (20 P.3d 1067-1068)</w:t>
      </w:r>
    </w:p>
    <w:p w14:paraId="3154C6DC" w14:textId="2004244A" w:rsidR="00CB6E21" w:rsidRPr="00A24502" w:rsidRDefault="00CB6E21" w:rsidP="00CB6E21">
      <w:pPr>
        <w:rPr>
          <w:sz w:val="22"/>
          <w:szCs w:val="22"/>
        </w:rPr>
      </w:pPr>
      <w:r w:rsidRPr="00A24502">
        <w:rPr>
          <w:sz w:val="22"/>
          <w:szCs w:val="22"/>
        </w:rPr>
        <w:t xml:space="preserve">Similarly, </w:t>
      </w:r>
      <w:proofErr w:type="gramStart"/>
      <w:r w:rsidRPr="00A24502">
        <w:rPr>
          <w:sz w:val="22"/>
          <w:szCs w:val="22"/>
        </w:rPr>
        <w:t>State</w:t>
      </w:r>
      <w:proofErr w:type="gramEnd"/>
      <w:r w:rsidRPr="00A24502">
        <w:rPr>
          <w:sz w:val="22"/>
          <w:szCs w:val="22"/>
        </w:rPr>
        <w:t xml:space="preserve"> v. Hieb, 39 </w:t>
      </w:r>
      <w:proofErr w:type="spellStart"/>
      <w:r w:rsidRPr="00A24502">
        <w:rPr>
          <w:sz w:val="22"/>
          <w:szCs w:val="22"/>
        </w:rPr>
        <w:t>Wn.App</w:t>
      </w:r>
      <w:proofErr w:type="spellEnd"/>
      <w:r w:rsidRPr="00A24502">
        <w:rPr>
          <w:sz w:val="22"/>
          <w:szCs w:val="22"/>
        </w:rPr>
        <w:t xml:space="preserve">. 273 693 P.2d 145 (Wash. App. 1984) clarified that the present sense impression exception requires the statement to be made while the declarant was perceiving the event or immediately thereafter, precluding misrepresentation or conscious fabrication. (693 P.2d 148) The court distinguished this exception from the excited utterance exception, which allows for some time </w:t>
      </w:r>
      <w:proofErr w:type="gramStart"/>
      <w:r w:rsidRPr="00A24502">
        <w:rPr>
          <w:sz w:val="22"/>
          <w:szCs w:val="22"/>
        </w:rPr>
        <w:t>lapse</w:t>
      </w:r>
      <w:proofErr w:type="gramEnd"/>
      <w:r w:rsidRPr="00A24502">
        <w:rPr>
          <w:sz w:val="22"/>
          <w:szCs w:val="22"/>
        </w:rPr>
        <w:t xml:space="preserve"> and responses to questions due to the startling nature of the event. (693 P.2d 148) In State v. Hieb, statements made several hours after the event were deemed inadmissible as present sense impressions because they did not meet the immediacy requirement. (693 P.2d 149)</w:t>
      </w:r>
    </w:p>
    <w:p w14:paraId="12ECFC33" w14:textId="47227BD8" w:rsidR="00CB6E21" w:rsidRPr="00A24502" w:rsidRDefault="00CB6E21" w:rsidP="00963E79">
      <w:pPr>
        <w:numPr>
          <w:ilvl w:val="0"/>
          <w:numId w:val="2"/>
        </w:numPr>
        <w:tabs>
          <w:tab w:val="clear" w:pos="720"/>
          <w:tab w:val="num" w:pos="1800"/>
        </w:tabs>
        <w:ind w:left="1800"/>
        <w:rPr>
          <w:sz w:val="22"/>
          <w:szCs w:val="22"/>
          <w:u w:val="single"/>
        </w:rPr>
      </w:pPr>
      <w:r w:rsidRPr="00CB6E21">
        <w:rPr>
          <w:sz w:val="22"/>
          <w:szCs w:val="22"/>
          <w:u w:val="single"/>
        </w:rPr>
        <w:t>Excited Utterance</w:t>
      </w:r>
      <w:r w:rsidR="00C51FDF" w:rsidRPr="00A24502">
        <w:rPr>
          <w:sz w:val="22"/>
          <w:szCs w:val="22"/>
          <w:u w:val="single"/>
        </w:rPr>
        <w:t xml:space="preserve"> ER 803(a)(2)</w:t>
      </w:r>
    </w:p>
    <w:p w14:paraId="2C7FF7B4" w14:textId="09DBC7CE" w:rsidR="00C51FDF" w:rsidRPr="00A24502" w:rsidRDefault="00C51FDF" w:rsidP="00C51FDF">
      <w:pPr>
        <w:rPr>
          <w:sz w:val="22"/>
          <w:szCs w:val="22"/>
        </w:rPr>
      </w:pPr>
      <w:r w:rsidRPr="00A24502">
        <w:rPr>
          <w:sz w:val="22"/>
          <w:szCs w:val="22"/>
        </w:rPr>
        <w:t>A prosecutorial favorite, prosecutors frequently seek to introduce many prior statements by alleged victims, to police, 911 operators and others, under this exception.</w:t>
      </w:r>
    </w:p>
    <w:p w14:paraId="4410DADF" w14:textId="5A35223C" w:rsidR="00C51FDF" w:rsidRPr="00A24502" w:rsidRDefault="00C51FDF" w:rsidP="00C51FDF">
      <w:pPr>
        <w:ind w:left="720"/>
        <w:rPr>
          <w:sz w:val="22"/>
          <w:szCs w:val="22"/>
        </w:rPr>
      </w:pPr>
      <w:r w:rsidRPr="00A24502">
        <w:rPr>
          <w:sz w:val="22"/>
          <w:szCs w:val="22"/>
        </w:rPr>
        <w:t xml:space="preserve">Excited Utterance.  </w:t>
      </w:r>
      <w:r w:rsidRPr="00A24502">
        <w:rPr>
          <w:sz w:val="22"/>
          <w:szCs w:val="22"/>
        </w:rPr>
        <w:t>A statement relating to a startling event or condition made while the declarant was under the stress of excitement caused by the event or condition.</w:t>
      </w:r>
    </w:p>
    <w:p w14:paraId="31AACE06" w14:textId="1BD297E7" w:rsidR="00C51FDF" w:rsidRPr="00A24502" w:rsidRDefault="00C51FDF" w:rsidP="00C51FDF">
      <w:pPr>
        <w:rPr>
          <w:sz w:val="22"/>
          <w:szCs w:val="22"/>
        </w:rPr>
      </w:pPr>
      <w:r w:rsidRPr="00A24502">
        <w:rPr>
          <w:sz w:val="22"/>
          <w:szCs w:val="22"/>
        </w:rPr>
        <w:t>ER 803(a)(2)</w:t>
      </w:r>
      <w:r w:rsidRPr="00A24502">
        <w:rPr>
          <w:sz w:val="22"/>
          <w:szCs w:val="22"/>
        </w:rPr>
        <w:t xml:space="preserve">.  </w:t>
      </w:r>
      <w:r w:rsidRPr="00A24502">
        <w:rPr>
          <w:sz w:val="22"/>
          <w:szCs w:val="22"/>
        </w:rPr>
        <w:t xml:space="preserve">Washington's test for the excited utterance exception under ER 803(a)(2) requires a startling event or condition, a statement made while the declarant was under the stress of excitement caused by the event or condition, and that the statement relates to the startling event or condition. The key is whether the statement was made while the declarant was still under the influence of the event, precluding fabrication, intervening actions, or the exercise of choice or judgment. (State v. Pavlik, 165 </w:t>
      </w:r>
      <w:proofErr w:type="spellStart"/>
      <w:r w:rsidRPr="00A24502">
        <w:rPr>
          <w:sz w:val="22"/>
          <w:szCs w:val="22"/>
        </w:rPr>
        <w:t>Wash.App</w:t>
      </w:r>
      <w:proofErr w:type="spellEnd"/>
      <w:r w:rsidRPr="00A24502">
        <w:rPr>
          <w:sz w:val="22"/>
          <w:szCs w:val="22"/>
        </w:rPr>
        <w:t>. 645 268 P.3d 986 (Wash. App. 2012) 268 P.3d at 992)</w:t>
      </w:r>
    </w:p>
    <w:p w14:paraId="458A264E" w14:textId="77777777" w:rsidR="00C51FDF" w:rsidRPr="00A24502" w:rsidRDefault="00C51FDF" w:rsidP="00C51FDF">
      <w:pPr>
        <w:rPr>
          <w:sz w:val="22"/>
          <w:szCs w:val="22"/>
        </w:rPr>
      </w:pPr>
      <w:r w:rsidRPr="00A24502">
        <w:rPr>
          <w:sz w:val="22"/>
          <w:szCs w:val="22"/>
        </w:rPr>
        <w:t xml:space="preserve">In State v. Johnson, (Wash. App. 2023), the court affirmed the admission of a 911 call under the excited utterance exception. The caller's statements related to a startling event (a former boyfriend entering her apartment and threatening her) and were made while she was under the stress of excitement, demonstrated by her hushed voice, startled reaction, and immediate </w:t>
      </w:r>
      <w:proofErr w:type="gramStart"/>
      <w:r w:rsidRPr="00A24502">
        <w:rPr>
          <w:sz w:val="22"/>
          <w:szCs w:val="22"/>
        </w:rPr>
        <w:t>seeking of</w:t>
      </w:r>
      <w:proofErr w:type="gramEnd"/>
      <w:r w:rsidRPr="00A24502">
        <w:rPr>
          <w:sz w:val="22"/>
          <w:szCs w:val="22"/>
        </w:rPr>
        <w:t xml:space="preserve"> refuge.</w:t>
      </w:r>
    </w:p>
    <w:p w14:paraId="6BC24455" w14:textId="3CDA980E" w:rsidR="00C51FDF" w:rsidRPr="00A24502" w:rsidRDefault="00C51FDF" w:rsidP="00C51FDF">
      <w:pPr>
        <w:rPr>
          <w:sz w:val="22"/>
          <w:szCs w:val="22"/>
        </w:rPr>
      </w:pPr>
      <w:r w:rsidRPr="00A24502">
        <w:rPr>
          <w:sz w:val="22"/>
          <w:szCs w:val="22"/>
        </w:rPr>
        <w:t xml:space="preserve">Over 600 cases in Washington address this hearsay exception.  Because the test </w:t>
      </w:r>
      <w:r w:rsidR="008E654D" w:rsidRPr="00A24502">
        <w:rPr>
          <w:sz w:val="22"/>
          <w:szCs w:val="22"/>
        </w:rPr>
        <w:t xml:space="preserve">is very fact based, it will be necessary to look closely at similar cases, and probably good to emphasize more recent case law in your research.  </w:t>
      </w:r>
    </w:p>
    <w:p w14:paraId="79D728D6" w14:textId="48EC50BE" w:rsidR="008E654D" w:rsidRPr="00A24502" w:rsidRDefault="003A2689" w:rsidP="003A2689">
      <w:pPr>
        <w:rPr>
          <w:sz w:val="22"/>
          <w:szCs w:val="22"/>
        </w:rPr>
      </w:pPr>
      <w:r w:rsidRPr="00A24502">
        <w:rPr>
          <w:sz w:val="22"/>
          <w:szCs w:val="22"/>
        </w:rPr>
        <w:t xml:space="preserve">In </w:t>
      </w:r>
      <w:r w:rsidR="008E654D" w:rsidRPr="00A24502">
        <w:rPr>
          <w:sz w:val="22"/>
          <w:szCs w:val="22"/>
        </w:rPr>
        <w:t xml:space="preserve">State v. Chapin, 118 Wn.2d 681 (1992) </w:t>
      </w:r>
      <w:r w:rsidRPr="00A24502">
        <w:rPr>
          <w:sz w:val="22"/>
          <w:szCs w:val="22"/>
        </w:rPr>
        <w:t>the court e</w:t>
      </w:r>
      <w:r w:rsidR="008E654D" w:rsidRPr="00A24502">
        <w:rPr>
          <w:sz w:val="22"/>
          <w:szCs w:val="22"/>
        </w:rPr>
        <w:t>stablished the three-part test used by Washington courts:</w:t>
      </w:r>
      <w:r w:rsidR="008E654D" w:rsidRPr="00A24502">
        <w:rPr>
          <w:sz w:val="22"/>
          <w:szCs w:val="22"/>
        </w:rPr>
        <w:t xml:space="preserve"> </w:t>
      </w:r>
      <w:r w:rsidR="008E654D" w:rsidRPr="00A24502">
        <w:rPr>
          <w:sz w:val="22"/>
          <w:szCs w:val="22"/>
        </w:rPr>
        <w:t>“The ultimate question is whether the declarant was still under the influence of the startling event such that the statement was a spontaneous reaction rather than the result of reflection or fabrication.”</w:t>
      </w:r>
    </w:p>
    <w:p w14:paraId="1EE244B2" w14:textId="658F34F4" w:rsidR="008E654D" w:rsidRPr="00A24502" w:rsidRDefault="003A2689" w:rsidP="003A2689">
      <w:pPr>
        <w:rPr>
          <w:sz w:val="22"/>
          <w:szCs w:val="22"/>
        </w:rPr>
      </w:pPr>
      <w:r w:rsidRPr="00A24502">
        <w:rPr>
          <w:sz w:val="22"/>
          <w:szCs w:val="22"/>
        </w:rPr>
        <w:t xml:space="preserve">In </w:t>
      </w:r>
      <w:r w:rsidR="008E654D" w:rsidRPr="00A24502">
        <w:rPr>
          <w:sz w:val="22"/>
          <w:szCs w:val="22"/>
        </w:rPr>
        <w:t xml:space="preserve">State v. Brown, 127 Wn.2d 749 (1995) </w:t>
      </w:r>
      <w:r w:rsidRPr="00A24502">
        <w:rPr>
          <w:sz w:val="22"/>
          <w:szCs w:val="22"/>
        </w:rPr>
        <w:t>the court c</w:t>
      </w:r>
      <w:r w:rsidR="008E654D" w:rsidRPr="00A24502">
        <w:rPr>
          <w:sz w:val="22"/>
          <w:szCs w:val="22"/>
        </w:rPr>
        <w:t>larified that the amount of time between the event and statement is not controlling</w:t>
      </w:r>
      <w:proofErr w:type="gramStart"/>
      <w:r w:rsidR="008E654D" w:rsidRPr="00A24502">
        <w:rPr>
          <w:sz w:val="22"/>
          <w:szCs w:val="22"/>
        </w:rPr>
        <w:t>:</w:t>
      </w:r>
      <w:r w:rsidR="008E654D" w:rsidRPr="00A24502">
        <w:rPr>
          <w:sz w:val="22"/>
          <w:szCs w:val="22"/>
        </w:rPr>
        <w:t xml:space="preserve">  </w:t>
      </w:r>
      <w:r w:rsidR="008E654D" w:rsidRPr="00A24502">
        <w:rPr>
          <w:sz w:val="22"/>
          <w:szCs w:val="22"/>
        </w:rPr>
        <w:t>“</w:t>
      </w:r>
      <w:proofErr w:type="gramEnd"/>
      <w:r w:rsidR="008E654D" w:rsidRPr="00A24502">
        <w:rPr>
          <w:sz w:val="22"/>
          <w:szCs w:val="22"/>
        </w:rPr>
        <w:t>The critical inquiry is not the time but whether the statement was made while under the stress of excitement.”</w:t>
      </w:r>
    </w:p>
    <w:p w14:paraId="1EADD7B4" w14:textId="70AFA7C4" w:rsidR="008E654D" w:rsidRPr="00A24502" w:rsidRDefault="003A2689" w:rsidP="003A2689">
      <w:pPr>
        <w:rPr>
          <w:sz w:val="22"/>
          <w:szCs w:val="22"/>
        </w:rPr>
      </w:pPr>
      <w:r w:rsidRPr="00A24502">
        <w:rPr>
          <w:sz w:val="22"/>
          <w:szCs w:val="22"/>
        </w:rPr>
        <w:lastRenderedPageBreak/>
        <w:t xml:space="preserve">In </w:t>
      </w:r>
      <w:r w:rsidR="008E654D" w:rsidRPr="00A24502">
        <w:rPr>
          <w:sz w:val="22"/>
          <w:szCs w:val="22"/>
        </w:rPr>
        <w:t xml:space="preserve">State v. Thomas, 46 </w:t>
      </w:r>
      <w:proofErr w:type="spellStart"/>
      <w:r w:rsidR="008E654D" w:rsidRPr="00A24502">
        <w:rPr>
          <w:sz w:val="22"/>
          <w:szCs w:val="22"/>
        </w:rPr>
        <w:t>Wn</w:t>
      </w:r>
      <w:proofErr w:type="spellEnd"/>
      <w:r w:rsidR="008E654D" w:rsidRPr="00A24502">
        <w:rPr>
          <w:sz w:val="22"/>
          <w:szCs w:val="22"/>
        </w:rPr>
        <w:t xml:space="preserve">. App. 280 (1986) </w:t>
      </w:r>
      <w:r w:rsidRPr="00A24502">
        <w:rPr>
          <w:sz w:val="22"/>
          <w:szCs w:val="22"/>
        </w:rPr>
        <w:t>the court f</w:t>
      </w:r>
      <w:r w:rsidR="008E654D" w:rsidRPr="00A24502">
        <w:rPr>
          <w:sz w:val="22"/>
          <w:szCs w:val="22"/>
        </w:rPr>
        <w:t>ound that statements made 20 minutes after a shooting were still admissible as excited utterances because the declarant was visibly distressed and had no time to fabricate.</w:t>
      </w:r>
    </w:p>
    <w:p w14:paraId="1565EBC0" w14:textId="77777777" w:rsidR="00C51FDF" w:rsidRPr="00CB6E21" w:rsidRDefault="00C51FDF" w:rsidP="00C51FDF">
      <w:pPr>
        <w:rPr>
          <w:sz w:val="22"/>
          <w:szCs w:val="22"/>
        </w:rPr>
      </w:pPr>
    </w:p>
    <w:p w14:paraId="2893DDA3" w14:textId="4DC87641" w:rsidR="00CB6E21" w:rsidRPr="00A24502" w:rsidRDefault="00CB6E21" w:rsidP="00963E79">
      <w:pPr>
        <w:numPr>
          <w:ilvl w:val="0"/>
          <w:numId w:val="2"/>
        </w:numPr>
        <w:tabs>
          <w:tab w:val="clear" w:pos="720"/>
          <w:tab w:val="num" w:pos="1800"/>
        </w:tabs>
        <w:ind w:left="1800"/>
        <w:rPr>
          <w:sz w:val="22"/>
          <w:szCs w:val="22"/>
          <w:u w:val="single"/>
        </w:rPr>
      </w:pPr>
      <w:r w:rsidRPr="00CB6E21">
        <w:rPr>
          <w:sz w:val="22"/>
          <w:szCs w:val="22"/>
          <w:u w:val="single"/>
        </w:rPr>
        <w:t>Then-Existing Mental, Emotional, or Physical Condition</w:t>
      </w:r>
      <w:r w:rsidR="008E654D" w:rsidRPr="00A24502">
        <w:rPr>
          <w:sz w:val="22"/>
          <w:szCs w:val="22"/>
          <w:u w:val="single"/>
        </w:rPr>
        <w:t>, ER 803(a)(3)</w:t>
      </w:r>
    </w:p>
    <w:p w14:paraId="7958335E" w14:textId="6680088B" w:rsidR="008E654D" w:rsidRPr="00A24502" w:rsidRDefault="008E654D" w:rsidP="003119F8">
      <w:pPr>
        <w:rPr>
          <w:sz w:val="22"/>
          <w:szCs w:val="22"/>
        </w:rPr>
      </w:pPr>
      <w:r w:rsidRPr="00A24502">
        <w:rPr>
          <w:sz w:val="22"/>
          <w:szCs w:val="22"/>
        </w:rPr>
        <w:t xml:space="preserve">Another prosecutorial favorite:  </w:t>
      </w:r>
    </w:p>
    <w:p w14:paraId="68F444AF" w14:textId="482675AD" w:rsidR="008E654D" w:rsidRPr="00A24502" w:rsidRDefault="008E654D" w:rsidP="008E654D">
      <w:pPr>
        <w:ind w:left="720"/>
        <w:rPr>
          <w:sz w:val="22"/>
          <w:szCs w:val="22"/>
        </w:rPr>
      </w:pPr>
      <w:r w:rsidRPr="00A24502">
        <w:rPr>
          <w:sz w:val="22"/>
          <w:szCs w:val="22"/>
        </w:rPr>
        <w:t>Then Existing Mental, Emotional, or Physical Condition. A statement of the declarant's then existing state of mind, emotion, sensation, or physical condition (such as intent, plan, motive, design, mental feeling, pain, and bodily health), but not including a statement of memory or belief to prove the fact remembered or believed unless it relates to the execution, revocation, identification, or terms of declarant's will.</w:t>
      </w:r>
    </w:p>
    <w:p w14:paraId="10AFABC9" w14:textId="47B795A2" w:rsidR="008E654D" w:rsidRPr="00A24502" w:rsidRDefault="008E654D" w:rsidP="003119F8">
      <w:pPr>
        <w:rPr>
          <w:sz w:val="22"/>
          <w:szCs w:val="22"/>
        </w:rPr>
      </w:pPr>
      <w:r w:rsidRPr="00A24502">
        <w:rPr>
          <w:sz w:val="22"/>
          <w:szCs w:val="22"/>
        </w:rPr>
        <w:t>ER 803(a)(3) states that a statement of the declarant’s then-existing state of mind, emotion, sensation, or physical condition (such as intent, plan, motive, design, mental feeling, pain, and bodily health) is not excluded by the hearsay rule, even though the declarant is available as a witness. However, this exception does not include a statement of memory or belief to prove the fact remembered or believed unless it relates to the execution, revocation, identification, or terms of declarant’s will.</w:t>
      </w:r>
    </w:p>
    <w:p w14:paraId="38731F5D" w14:textId="77777777" w:rsidR="008E654D" w:rsidRPr="00A24502" w:rsidRDefault="008E654D" w:rsidP="003119F8">
      <w:pPr>
        <w:rPr>
          <w:sz w:val="22"/>
          <w:szCs w:val="22"/>
        </w:rPr>
      </w:pPr>
      <w:r w:rsidRPr="00A24502">
        <w:rPr>
          <w:sz w:val="22"/>
          <w:szCs w:val="22"/>
        </w:rPr>
        <w:t>In State v. Brentin, (Wash. App. 2015), the court held that statements made by a victim about her intent in giving money to the defendant at the time of the transfer were admissible under ER 803(a)(3) because they reflected her then-existing state of mind.</w:t>
      </w:r>
    </w:p>
    <w:p w14:paraId="6046B8EC" w14:textId="77777777" w:rsidR="008E654D" w:rsidRPr="00A24502" w:rsidRDefault="008E654D" w:rsidP="003119F8">
      <w:pPr>
        <w:rPr>
          <w:sz w:val="22"/>
          <w:szCs w:val="22"/>
        </w:rPr>
      </w:pPr>
      <w:r w:rsidRPr="00A24502">
        <w:rPr>
          <w:sz w:val="22"/>
          <w:szCs w:val="22"/>
        </w:rPr>
        <w:t xml:space="preserve">In State v. Flett, 40 </w:t>
      </w:r>
      <w:proofErr w:type="spellStart"/>
      <w:r w:rsidRPr="00A24502">
        <w:rPr>
          <w:sz w:val="22"/>
          <w:szCs w:val="22"/>
        </w:rPr>
        <w:t>Wn.App</w:t>
      </w:r>
      <w:proofErr w:type="spellEnd"/>
      <w:r w:rsidRPr="00A24502">
        <w:rPr>
          <w:sz w:val="22"/>
          <w:szCs w:val="22"/>
        </w:rPr>
        <w:t>. 277 699 P.2d 774 (Wash. App. 1985), the court held that a victim's statement, "Something upset me," made to her son after an alleged rape, was admissible under ER 803(a)(3). The court reasoned that the statement referred to the victim's then-existing mental and emotional state and was relevant to show continuing stress. (288)</w:t>
      </w:r>
    </w:p>
    <w:p w14:paraId="7CDE8D00" w14:textId="3CD5820B" w:rsidR="008E654D" w:rsidRPr="00A24502" w:rsidRDefault="008E654D" w:rsidP="003119F8">
      <w:pPr>
        <w:rPr>
          <w:sz w:val="22"/>
          <w:szCs w:val="22"/>
        </w:rPr>
      </w:pPr>
      <w:r w:rsidRPr="00A24502">
        <w:rPr>
          <w:sz w:val="22"/>
          <w:szCs w:val="22"/>
        </w:rPr>
        <w:t>Conversely, in State v. Lathrop, (Wash. App. 2024), the court held that statements made by a defendant to a detective about his state of mind during a prior altercation were inadmissible hearsay. The court reasoned that the statements were retrospective, describing the defendant's state of mind during the altercation, not at the time of the interview with the detective, and thus did not qualify for the hearsay exception under ER 803(a)(3). (5-6)</w:t>
      </w:r>
    </w:p>
    <w:p w14:paraId="6FF40343" w14:textId="2990747D" w:rsidR="008E654D" w:rsidRPr="00A24502" w:rsidRDefault="008E654D" w:rsidP="003119F8">
      <w:pPr>
        <w:rPr>
          <w:sz w:val="22"/>
          <w:szCs w:val="22"/>
        </w:rPr>
      </w:pPr>
      <w:r w:rsidRPr="00A24502">
        <w:rPr>
          <w:sz w:val="22"/>
          <w:szCs w:val="22"/>
        </w:rPr>
        <w:t xml:space="preserve">A </w:t>
      </w:r>
      <w:proofErr w:type="spellStart"/>
      <w:r w:rsidRPr="00A24502">
        <w:rPr>
          <w:sz w:val="22"/>
          <w:szCs w:val="22"/>
        </w:rPr>
        <w:t>VLex</w:t>
      </w:r>
      <w:proofErr w:type="spellEnd"/>
      <w:r w:rsidRPr="00A24502">
        <w:rPr>
          <w:sz w:val="22"/>
          <w:szCs w:val="22"/>
        </w:rPr>
        <w:t xml:space="preserve"> search for Washington cases yields over 200 cases mentioning this exception.</w:t>
      </w:r>
    </w:p>
    <w:p w14:paraId="74F14355" w14:textId="3DA4BEFF" w:rsidR="00320F7F" w:rsidRPr="00A24502" w:rsidRDefault="00320F7F">
      <w:pPr>
        <w:rPr>
          <w:sz w:val="22"/>
          <w:szCs w:val="22"/>
        </w:rPr>
      </w:pPr>
    </w:p>
    <w:p w14:paraId="7B1C3C07" w14:textId="77777777" w:rsidR="00320F7F" w:rsidRPr="00CB6E21" w:rsidRDefault="00320F7F" w:rsidP="008E654D">
      <w:pPr>
        <w:ind w:left="360"/>
        <w:rPr>
          <w:sz w:val="22"/>
          <w:szCs w:val="22"/>
        </w:rPr>
      </w:pPr>
    </w:p>
    <w:p w14:paraId="4BAA7707" w14:textId="26478890" w:rsidR="00CB6E21" w:rsidRPr="00A24502" w:rsidRDefault="00CB6E21" w:rsidP="00963E79">
      <w:pPr>
        <w:numPr>
          <w:ilvl w:val="0"/>
          <w:numId w:val="2"/>
        </w:numPr>
        <w:tabs>
          <w:tab w:val="clear" w:pos="720"/>
          <w:tab w:val="num" w:pos="1800"/>
        </w:tabs>
        <w:ind w:left="1800"/>
        <w:rPr>
          <w:sz w:val="22"/>
          <w:szCs w:val="22"/>
          <w:u w:val="single"/>
        </w:rPr>
      </w:pPr>
      <w:r w:rsidRPr="00CB6E21">
        <w:rPr>
          <w:sz w:val="22"/>
          <w:szCs w:val="22"/>
          <w:u w:val="single"/>
        </w:rPr>
        <w:t>Statements for Medical Diagnosis or Treatment</w:t>
      </w:r>
      <w:r w:rsidR="00C645CA" w:rsidRPr="00A24502">
        <w:rPr>
          <w:sz w:val="22"/>
          <w:szCs w:val="22"/>
          <w:u w:val="single"/>
        </w:rPr>
        <w:t>, ER 803(a)(4)</w:t>
      </w:r>
    </w:p>
    <w:p w14:paraId="64CCC32A" w14:textId="7625F31F" w:rsidR="00C645CA" w:rsidRPr="00A24502" w:rsidRDefault="00C645CA" w:rsidP="003119F8">
      <w:pPr>
        <w:rPr>
          <w:sz w:val="22"/>
          <w:szCs w:val="22"/>
        </w:rPr>
      </w:pPr>
      <w:r w:rsidRPr="00A24502">
        <w:rPr>
          <w:sz w:val="22"/>
          <w:szCs w:val="22"/>
        </w:rPr>
        <w:lastRenderedPageBreak/>
        <w:t>Whenever medical records are in state’s evidence, there is a strong likelihood that statements in these records will be admitted into evidence.</w:t>
      </w:r>
    </w:p>
    <w:p w14:paraId="6433391C" w14:textId="590D0D86" w:rsidR="00C645CA" w:rsidRPr="00A24502" w:rsidRDefault="00C645CA" w:rsidP="00C645CA">
      <w:pPr>
        <w:ind w:left="720"/>
        <w:rPr>
          <w:sz w:val="22"/>
          <w:szCs w:val="22"/>
        </w:rPr>
      </w:pPr>
      <w:r w:rsidRPr="00A24502">
        <w:rPr>
          <w:sz w:val="22"/>
          <w:szCs w:val="22"/>
        </w:rPr>
        <w:t>Statements for Purposes of Medical Diagnosis or Treatment. Statements made for purposes of medical diagnosis or treatment and describing medical history, or past or present symptoms, pain, or sensations, or the inception or general character of the cause or external source thereof insofar as reasonably pertinent to diagnosis or treatment.</w:t>
      </w:r>
    </w:p>
    <w:p w14:paraId="262508ED" w14:textId="77777777" w:rsidR="00C645CA" w:rsidRPr="00A24502" w:rsidRDefault="00C645CA" w:rsidP="003119F8">
      <w:pPr>
        <w:rPr>
          <w:sz w:val="22"/>
          <w:szCs w:val="22"/>
        </w:rPr>
      </w:pPr>
      <w:r w:rsidRPr="00A24502">
        <w:rPr>
          <w:sz w:val="22"/>
          <w:szCs w:val="22"/>
        </w:rPr>
        <w:t>ER 803(a)(4)</w:t>
      </w:r>
      <w:r w:rsidRPr="00A24502">
        <w:rPr>
          <w:sz w:val="22"/>
          <w:szCs w:val="22"/>
        </w:rPr>
        <w:t xml:space="preserve">.  </w:t>
      </w:r>
      <w:r w:rsidRPr="00A24502">
        <w:rPr>
          <w:sz w:val="22"/>
          <w:szCs w:val="22"/>
        </w:rPr>
        <w:t xml:space="preserve">Washington courts consider statements made for medical diagnosis or treatment admissible under ER 803(a)(4) even if the child declarant does not understand the medical necessity, provided there is corroborating </w:t>
      </w:r>
      <w:proofErr w:type="gramStart"/>
      <w:r w:rsidRPr="00A24502">
        <w:rPr>
          <w:sz w:val="22"/>
          <w:szCs w:val="22"/>
        </w:rPr>
        <w:t>evidence</w:t>
      </w:r>
      <w:proofErr w:type="gramEnd"/>
      <w:r w:rsidRPr="00A24502">
        <w:rPr>
          <w:sz w:val="22"/>
          <w:szCs w:val="22"/>
        </w:rPr>
        <w:t xml:space="preserve"> and the statements appear unlikely to be fabricated. State v. Florczak, 76 </w:t>
      </w:r>
      <w:proofErr w:type="spellStart"/>
      <w:r w:rsidRPr="00A24502">
        <w:rPr>
          <w:sz w:val="22"/>
          <w:szCs w:val="22"/>
        </w:rPr>
        <w:t>Wn.App</w:t>
      </w:r>
      <w:proofErr w:type="spellEnd"/>
      <w:r w:rsidRPr="00A24502">
        <w:rPr>
          <w:sz w:val="22"/>
          <w:szCs w:val="22"/>
        </w:rPr>
        <w:t>. 55 882 P.2d 199 (Wash. App. 1994) (882 P.2d at 203).</w:t>
      </w:r>
    </w:p>
    <w:p w14:paraId="6B525C72" w14:textId="77777777" w:rsidR="00C645CA" w:rsidRPr="00A24502" w:rsidRDefault="00C645CA" w:rsidP="003119F8">
      <w:pPr>
        <w:rPr>
          <w:sz w:val="22"/>
          <w:szCs w:val="22"/>
        </w:rPr>
      </w:pPr>
      <w:r w:rsidRPr="00A24502">
        <w:rPr>
          <w:sz w:val="22"/>
          <w:szCs w:val="22"/>
        </w:rPr>
        <w:t>Statements made for medical diagnosis or treatment are not excluded by the hearsay rule if they describe medical history, symptoms, pain, or the cause of injury, insofar as reasonably pertinent to diagnosis or treatment. State v. Hurtado, 294 P.3d 838 (Wash. App. 2013) (294 P.3d at 847). Statements attributing fault are generally inadmissible unless pertinent and necessary to treatment, such as in domestic violence cases where the abuser's identity is relevant for psychological treatment and preventing recurrence. State v. Hurtado (294 P.3d at 847-48). The presence of a police officer during the statements does not necessarily render them inadmissible. State v. Hurtado (294 P.3d at 847-48).</w:t>
      </w:r>
    </w:p>
    <w:p w14:paraId="1CD5950D" w14:textId="77777777" w:rsidR="00C645CA" w:rsidRPr="00A24502" w:rsidRDefault="00C645CA" w:rsidP="003119F8">
      <w:pPr>
        <w:rPr>
          <w:sz w:val="22"/>
          <w:szCs w:val="22"/>
        </w:rPr>
      </w:pPr>
      <w:r w:rsidRPr="00A24502">
        <w:rPr>
          <w:sz w:val="22"/>
          <w:szCs w:val="22"/>
        </w:rPr>
        <w:t xml:space="preserve">Similarly, in child abuse cases, statements identifying a household member as the abuser are pertinent to treatment as they help prevent recurrence and address psychological harm. State v. Butler, 53 </w:t>
      </w:r>
      <w:proofErr w:type="spellStart"/>
      <w:r w:rsidRPr="00A24502">
        <w:rPr>
          <w:sz w:val="22"/>
          <w:szCs w:val="22"/>
        </w:rPr>
        <w:t>Wn.App</w:t>
      </w:r>
      <w:proofErr w:type="spellEnd"/>
      <w:r w:rsidRPr="00A24502">
        <w:rPr>
          <w:sz w:val="22"/>
          <w:szCs w:val="22"/>
        </w:rPr>
        <w:t>. 214 766 P.2d 505 (Wash. App. 1989) (766 P.2d at 508). Corroborating evidence supports the trustworthiness of such statements. State v. Butler (766 P.2d at 508).</w:t>
      </w:r>
    </w:p>
    <w:p w14:paraId="0AF3CD65" w14:textId="1C3EC45D" w:rsidR="00C645CA" w:rsidRPr="00CB6E21" w:rsidRDefault="00C645CA" w:rsidP="003119F8">
      <w:pPr>
        <w:rPr>
          <w:sz w:val="22"/>
          <w:szCs w:val="22"/>
        </w:rPr>
      </w:pPr>
      <w:r w:rsidRPr="00A24502">
        <w:rPr>
          <w:sz w:val="22"/>
          <w:szCs w:val="22"/>
        </w:rPr>
        <w:t>The test for ER 803(a)(4) considers the subjective purposes of both the declarant and the medical professional. State v. Burke, 196 Wash.2d 712 478 P.3d 1096 (Wash. 2021) (478 P.3d at 1110). The declarant's motive must be to promote treatment, and the medical professional must rely on the statement for treatment purposes. State v. Burke (478 P.3d at 1110). Statements attributing fault are generally inadmissible unless they disclose the identity of a closely related perpetrator in cases like domestic violence or sexual abuse, where preventing recurrence is part of treatment. State v. Burke (478 P.3d at 1110). While statements describing pain level, allergies, and specific assault details have a medical purpose, descriptions of the assailant may not meet the exception criteria if not made to promote treatment. State v. Burke (478 P.3d at 1111-12).</w:t>
      </w:r>
    </w:p>
    <w:p w14:paraId="65A525F3" w14:textId="11E2E8CB" w:rsidR="00CB6E21" w:rsidRPr="00A24502" w:rsidRDefault="00CB6E21" w:rsidP="00963E79">
      <w:pPr>
        <w:numPr>
          <w:ilvl w:val="0"/>
          <w:numId w:val="2"/>
        </w:numPr>
        <w:tabs>
          <w:tab w:val="clear" w:pos="720"/>
          <w:tab w:val="num" w:pos="1800"/>
        </w:tabs>
        <w:ind w:left="1800"/>
        <w:rPr>
          <w:sz w:val="22"/>
          <w:szCs w:val="22"/>
          <w:u w:val="single"/>
        </w:rPr>
      </w:pPr>
      <w:r w:rsidRPr="00CB6E21">
        <w:rPr>
          <w:sz w:val="22"/>
          <w:szCs w:val="22"/>
          <w:u w:val="single"/>
        </w:rPr>
        <w:t>Recorded Recollection</w:t>
      </w:r>
      <w:r w:rsidR="003119F8" w:rsidRPr="00A24502">
        <w:rPr>
          <w:sz w:val="22"/>
          <w:szCs w:val="22"/>
          <w:u w:val="single"/>
        </w:rPr>
        <w:t>, ER 803(a)(5)</w:t>
      </w:r>
    </w:p>
    <w:p w14:paraId="5A1B1FFD" w14:textId="0976F0E9" w:rsidR="003119F8" w:rsidRPr="00A24502" w:rsidRDefault="003119F8" w:rsidP="00320F7F">
      <w:pPr>
        <w:rPr>
          <w:sz w:val="22"/>
          <w:szCs w:val="22"/>
        </w:rPr>
      </w:pPr>
      <w:r w:rsidRPr="00A24502">
        <w:rPr>
          <w:sz w:val="22"/>
          <w:szCs w:val="22"/>
        </w:rPr>
        <w:t xml:space="preserve">Recorded Recollection. A memorandum or record concerning a matter about which a witness once had knowledge but now has insufficient recollection to enable the witness to testify fully and accurately, shown to have been made or adopted by the witness when the matter was fresh in the witness' memory and to reflect that knowledge correctly. If admitted, the memorandum or record </w:t>
      </w:r>
      <w:r w:rsidRPr="00A24502">
        <w:rPr>
          <w:sz w:val="22"/>
          <w:szCs w:val="22"/>
        </w:rPr>
        <w:lastRenderedPageBreak/>
        <w:t>may be read into evidence but may not itself be received as an exhibit unless offered by an adverse party</w:t>
      </w:r>
    </w:p>
    <w:p w14:paraId="11838F86" w14:textId="649E2508" w:rsidR="003119F8" w:rsidRPr="00A24502" w:rsidRDefault="003119F8" w:rsidP="00320F7F">
      <w:pPr>
        <w:rPr>
          <w:sz w:val="22"/>
          <w:szCs w:val="22"/>
        </w:rPr>
      </w:pPr>
      <w:r w:rsidRPr="00A24502">
        <w:rPr>
          <w:sz w:val="22"/>
          <w:szCs w:val="22"/>
        </w:rPr>
        <w:t xml:space="preserve">ER 803(a)(5).  </w:t>
      </w:r>
      <w:r w:rsidRPr="00A24502">
        <w:rPr>
          <w:sz w:val="22"/>
          <w:szCs w:val="22"/>
        </w:rPr>
        <w:t xml:space="preserve">Washington Evidence Rule 803(a)(5) allows for the admission of a recorded recollection if: (1) the record pertains to a matter about which the witness once had knowledge; (2) the witness has insufficient recollection to testify fully and accurately; (3) the record was made or adopted when the matter was fresh in the witness's memory; and (4) the record reflects the witness's prior knowledge accurately. In re Peterson, 197 </w:t>
      </w:r>
      <w:proofErr w:type="spellStart"/>
      <w:r w:rsidRPr="00A24502">
        <w:rPr>
          <w:sz w:val="22"/>
          <w:szCs w:val="22"/>
        </w:rPr>
        <w:t>Wash.App</w:t>
      </w:r>
      <w:proofErr w:type="spellEnd"/>
      <w:r w:rsidRPr="00A24502">
        <w:rPr>
          <w:sz w:val="22"/>
          <w:szCs w:val="22"/>
        </w:rPr>
        <w:t xml:space="preserve">. 722 389 P.3d 780 (Wash. App. 2017) (197 </w:t>
      </w:r>
      <w:proofErr w:type="spellStart"/>
      <w:r w:rsidRPr="00A24502">
        <w:rPr>
          <w:sz w:val="22"/>
          <w:szCs w:val="22"/>
        </w:rPr>
        <w:t>Wash.App</w:t>
      </w:r>
      <w:proofErr w:type="spellEnd"/>
      <w:r w:rsidRPr="00A24502">
        <w:rPr>
          <w:sz w:val="22"/>
          <w:szCs w:val="22"/>
        </w:rPr>
        <w:t xml:space="preserve">. 727-728). The fourth element, accuracy, is determined by examining the totality of the circumstances. State v. Nava (In re Pers. Restraint Petition Nava), 177 </w:t>
      </w:r>
      <w:proofErr w:type="spellStart"/>
      <w:r w:rsidRPr="00A24502">
        <w:rPr>
          <w:sz w:val="22"/>
          <w:szCs w:val="22"/>
        </w:rPr>
        <w:t>Wash.App</w:t>
      </w:r>
      <w:proofErr w:type="spellEnd"/>
      <w:r w:rsidRPr="00A24502">
        <w:rPr>
          <w:sz w:val="22"/>
          <w:szCs w:val="22"/>
        </w:rPr>
        <w:t xml:space="preserve">. 272 311 P.3d 83 (Wash. App. 2013) (177 </w:t>
      </w:r>
      <w:proofErr w:type="spellStart"/>
      <w:r w:rsidRPr="00A24502">
        <w:rPr>
          <w:sz w:val="22"/>
          <w:szCs w:val="22"/>
        </w:rPr>
        <w:t>Wash.App</w:t>
      </w:r>
      <w:proofErr w:type="spellEnd"/>
      <w:r w:rsidRPr="00A24502">
        <w:rPr>
          <w:sz w:val="22"/>
          <w:szCs w:val="22"/>
        </w:rPr>
        <w:t>. 290-292).</w:t>
      </w:r>
    </w:p>
    <w:p w14:paraId="67C8A556" w14:textId="77777777" w:rsidR="003119F8" w:rsidRPr="00A24502" w:rsidRDefault="003119F8" w:rsidP="00320F7F">
      <w:pPr>
        <w:rPr>
          <w:sz w:val="22"/>
          <w:szCs w:val="22"/>
        </w:rPr>
      </w:pPr>
      <w:r w:rsidRPr="00A24502">
        <w:rPr>
          <w:sz w:val="22"/>
          <w:szCs w:val="22"/>
        </w:rPr>
        <w:t xml:space="preserve">Factors to consider when determining accuracy include whether the witness disavows accuracy, whether the witness </w:t>
      </w:r>
      <w:proofErr w:type="gramStart"/>
      <w:r w:rsidRPr="00A24502">
        <w:rPr>
          <w:sz w:val="22"/>
          <w:szCs w:val="22"/>
        </w:rPr>
        <w:t>averred</w:t>
      </w:r>
      <w:proofErr w:type="gramEnd"/>
      <w:r w:rsidRPr="00A24502">
        <w:rPr>
          <w:sz w:val="22"/>
          <w:szCs w:val="22"/>
        </w:rPr>
        <w:t xml:space="preserve"> accuracy at the time of making the statement, the reliability of the recording process, and other indicia of reliability. State v. Nava (In re Pers. Restraint Petition Nava) (177 </w:t>
      </w:r>
      <w:proofErr w:type="spellStart"/>
      <w:r w:rsidRPr="00A24502">
        <w:rPr>
          <w:sz w:val="22"/>
          <w:szCs w:val="22"/>
        </w:rPr>
        <w:t>Wash.App</w:t>
      </w:r>
      <w:proofErr w:type="spellEnd"/>
      <w:r w:rsidRPr="00A24502">
        <w:rPr>
          <w:sz w:val="22"/>
          <w:szCs w:val="22"/>
        </w:rPr>
        <w:t xml:space="preserve">. 290-292). State v. Derouin, 116 Wash. App. 38 116 </w:t>
      </w:r>
      <w:proofErr w:type="spellStart"/>
      <w:r w:rsidRPr="00A24502">
        <w:rPr>
          <w:sz w:val="22"/>
          <w:szCs w:val="22"/>
        </w:rPr>
        <w:t>Wn</w:t>
      </w:r>
      <w:proofErr w:type="spellEnd"/>
      <w:r w:rsidRPr="00A24502">
        <w:rPr>
          <w:sz w:val="22"/>
          <w:szCs w:val="22"/>
        </w:rPr>
        <w:t xml:space="preserve">. App. 38 64 P.3d 35 (Wash. App. 2003) adopted the totality of the circumstances test from State v. Alvarado, 89 </w:t>
      </w:r>
      <w:proofErr w:type="spellStart"/>
      <w:r w:rsidRPr="00A24502">
        <w:rPr>
          <w:sz w:val="22"/>
          <w:szCs w:val="22"/>
        </w:rPr>
        <w:t>Wn.App</w:t>
      </w:r>
      <w:proofErr w:type="spellEnd"/>
      <w:r w:rsidRPr="00A24502">
        <w:rPr>
          <w:sz w:val="22"/>
          <w:szCs w:val="22"/>
        </w:rPr>
        <w:t xml:space="preserve">. 543 949 P.2d 831 (Wash. App. 1998) to determine accuracy. State v. Derouin (116 </w:t>
      </w:r>
      <w:proofErr w:type="spellStart"/>
      <w:r w:rsidRPr="00A24502">
        <w:rPr>
          <w:sz w:val="22"/>
          <w:szCs w:val="22"/>
        </w:rPr>
        <w:t>Wn</w:t>
      </w:r>
      <w:proofErr w:type="spellEnd"/>
      <w:r w:rsidRPr="00A24502">
        <w:rPr>
          <w:sz w:val="22"/>
          <w:szCs w:val="22"/>
        </w:rPr>
        <w:t>. App. 37-39).</w:t>
      </w:r>
    </w:p>
    <w:p w14:paraId="01BD8BAE" w14:textId="77777777" w:rsidR="003119F8" w:rsidRPr="00A24502" w:rsidRDefault="003119F8" w:rsidP="00320F7F">
      <w:pPr>
        <w:rPr>
          <w:sz w:val="22"/>
          <w:szCs w:val="22"/>
        </w:rPr>
      </w:pPr>
      <w:r w:rsidRPr="00A24502">
        <w:rPr>
          <w:sz w:val="22"/>
          <w:szCs w:val="22"/>
        </w:rPr>
        <w:t xml:space="preserve">In State v. Alvarado, the court considered the totality of the circumstances, including the witness's assertion of accuracy at the time of making the statements and the consistency and detail of the statements, to determine accuracy. State v. Alvarado (949 P.2d at 836-837). In State v. Cervantes, (Wash. App. 2012), the court considered the reliability of the recording process and corroboration by other evidence to support the statement's trustworthiness. State v. Cervantes (p. 8-13). A witness's disavowal of accuracy does not automatically render a statement inadmissible, </w:t>
      </w:r>
      <w:proofErr w:type="gramStart"/>
      <w:r w:rsidRPr="00A24502">
        <w:rPr>
          <w:sz w:val="22"/>
          <w:szCs w:val="22"/>
        </w:rPr>
        <w:t>as long as</w:t>
      </w:r>
      <w:proofErr w:type="gramEnd"/>
      <w:r w:rsidRPr="00A24502">
        <w:rPr>
          <w:sz w:val="22"/>
          <w:szCs w:val="22"/>
        </w:rPr>
        <w:t xml:space="preserve"> other indicia of reliability exist. State v. Nava (In re Pers. Restraint Petition Nava) (177 </w:t>
      </w:r>
      <w:proofErr w:type="spellStart"/>
      <w:r w:rsidRPr="00A24502">
        <w:rPr>
          <w:sz w:val="22"/>
          <w:szCs w:val="22"/>
        </w:rPr>
        <w:t>Wash.App</w:t>
      </w:r>
      <w:proofErr w:type="spellEnd"/>
      <w:r w:rsidRPr="00A24502">
        <w:rPr>
          <w:sz w:val="22"/>
          <w:szCs w:val="22"/>
        </w:rPr>
        <w:t>. 295-297).</w:t>
      </w:r>
    </w:p>
    <w:p w14:paraId="0FD2B3CA" w14:textId="77777777" w:rsidR="003119F8" w:rsidRPr="00A24502" w:rsidRDefault="003119F8" w:rsidP="00320F7F">
      <w:pPr>
        <w:rPr>
          <w:sz w:val="22"/>
          <w:szCs w:val="22"/>
        </w:rPr>
      </w:pPr>
      <w:r w:rsidRPr="00A24502">
        <w:rPr>
          <w:sz w:val="22"/>
          <w:szCs w:val="22"/>
        </w:rPr>
        <w:t xml:space="preserve">In In re Peterson, 197 </w:t>
      </w:r>
      <w:proofErr w:type="spellStart"/>
      <w:r w:rsidRPr="00A24502">
        <w:rPr>
          <w:sz w:val="22"/>
          <w:szCs w:val="22"/>
        </w:rPr>
        <w:t>Wn</w:t>
      </w:r>
      <w:proofErr w:type="spellEnd"/>
      <w:r w:rsidRPr="00A24502">
        <w:rPr>
          <w:sz w:val="22"/>
          <w:szCs w:val="22"/>
        </w:rPr>
        <w:t>. App. 722, 389 P.3d 780 (2017), the court affirmed the admission of a victim’s prior statements as recorded recollections under ER 803(a)(5). The witness acknowledged the truthfulness of her earlier statements despite memory loss at trial. The court found the statements met the recorded recollection criteria, emphasizing the reliability of the recording process and the absence of disavowal.</w:t>
      </w:r>
    </w:p>
    <w:p w14:paraId="60C53CE3" w14:textId="77777777" w:rsidR="003119F8" w:rsidRPr="00A24502" w:rsidRDefault="003119F8" w:rsidP="00320F7F">
      <w:pPr>
        <w:rPr>
          <w:sz w:val="22"/>
          <w:szCs w:val="22"/>
        </w:rPr>
      </w:pPr>
      <w:r w:rsidRPr="00A24502">
        <w:rPr>
          <w:sz w:val="22"/>
          <w:szCs w:val="22"/>
        </w:rPr>
        <w:t xml:space="preserve">In State v. Nava (In re Pers. Restraint of Nava), 177 </w:t>
      </w:r>
      <w:proofErr w:type="spellStart"/>
      <w:r w:rsidRPr="00A24502">
        <w:rPr>
          <w:sz w:val="22"/>
          <w:szCs w:val="22"/>
        </w:rPr>
        <w:t>Wn</w:t>
      </w:r>
      <w:proofErr w:type="spellEnd"/>
      <w:r w:rsidRPr="00A24502">
        <w:rPr>
          <w:sz w:val="22"/>
          <w:szCs w:val="22"/>
        </w:rPr>
        <w:t>. App. 272, 311 P.3d 83 (2013), the court upheld the admission of four tape-recorded witness statements despite trial disavowals. Applying the totality of the circumstances test, the court concluded the statements were accurate and reliable, referencing earlier affirmations of truth and consistency with physical evidence.</w:t>
      </w:r>
    </w:p>
    <w:p w14:paraId="4F3DA159" w14:textId="77777777" w:rsidR="003119F8" w:rsidRPr="00A24502" w:rsidRDefault="003119F8" w:rsidP="00320F7F">
      <w:pPr>
        <w:rPr>
          <w:sz w:val="22"/>
          <w:szCs w:val="22"/>
        </w:rPr>
      </w:pPr>
      <w:r w:rsidRPr="00A24502">
        <w:rPr>
          <w:sz w:val="22"/>
          <w:szCs w:val="22"/>
        </w:rPr>
        <w:t xml:space="preserve">In State v. Derouin, 116 </w:t>
      </w:r>
      <w:proofErr w:type="spellStart"/>
      <w:r w:rsidRPr="00A24502">
        <w:rPr>
          <w:sz w:val="22"/>
          <w:szCs w:val="22"/>
        </w:rPr>
        <w:t>Wn</w:t>
      </w:r>
      <w:proofErr w:type="spellEnd"/>
      <w:r w:rsidRPr="00A24502">
        <w:rPr>
          <w:sz w:val="22"/>
          <w:szCs w:val="22"/>
        </w:rPr>
        <w:t>. App. 38, 64 P.3d 35 (2003), the appellate court reversed a trial court’s exclusion of a domestic violence victim’s prior statement. The court applied the Alvarado framework, emphasizing that the witness’s lack of memory, her prior attestation of accuracy, and corroborating evidence all supported admission under ER 803(a)(5).</w:t>
      </w:r>
    </w:p>
    <w:p w14:paraId="2E1C7577" w14:textId="77777777" w:rsidR="003119F8" w:rsidRPr="00A24502" w:rsidRDefault="003119F8" w:rsidP="00320F7F">
      <w:pPr>
        <w:rPr>
          <w:sz w:val="22"/>
          <w:szCs w:val="22"/>
        </w:rPr>
      </w:pPr>
      <w:r w:rsidRPr="00A24502">
        <w:rPr>
          <w:sz w:val="22"/>
          <w:szCs w:val="22"/>
        </w:rPr>
        <w:lastRenderedPageBreak/>
        <w:t xml:space="preserve">In State v. Alvarado, 89 </w:t>
      </w:r>
      <w:proofErr w:type="spellStart"/>
      <w:r w:rsidRPr="00A24502">
        <w:rPr>
          <w:sz w:val="22"/>
          <w:szCs w:val="22"/>
        </w:rPr>
        <w:t>Wn</w:t>
      </w:r>
      <w:proofErr w:type="spellEnd"/>
      <w:r w:rsidRPr="00A24502">
        <w:rPr>
          <w:sz w:val="22"/>
          <w:szCs w:val="22"/>
        </w:rPr>
        <w:t xml:space="preserve">. App. 543, 949 P.2d 831 (1998), the court affirmed the admission of a witness’s recorded statements about a murder. The witness lacked memory at trial but had confirmed the statements when made. The court held the </w:t>
      </w:r>
      <w:proofErr w:type="gramStart"/>
      <w:r w:rsidRPr="00A24502">
        <w:rPr>
          <w:sz w:val="22"/>
          <w:szCs w:val="22"/>
        </w:rPr>
        <w:t>recordings</w:t>
      </w:r>
      <w:proofErr w:type="gramEnd"/>
      <w:r w:rsidRPr="00A24502">
        <w:rPr>
          <w:sz w:val="22"/>
          <w:szCs w:val="22"/>
        </w:rPr>
        <w:t xml:space="preserve"> met the requirements of ER 803(a)(5), and </w:t>
      </w:r>
      <w:proofErr w:type="gramStart"/>
      <w:r w:rsidRPr="00A24502">
        <w:rPr>
          <w:sz w:val="22"/>
          <w:szCs w:val="22"/>
        </w:rPr>
        <w:t>defense</w:t>
      </w:r>
      <w:proofErr w:type="gramEnd"/>
      <w:r w:rsidRPr="00A24502">
        <w:rPr>
          <w:sz w:val="22"/>
          <w:szCs w:val="22"/>
        </w:rPr>
        <w:t xml:space="preserve"> counsel’s failure to object did not constitute ineffective assistance.</w:t>
      </w:r>
    </w:p>
    <w:p w14:paraId="0515F225" w14:textId="77777777" w:rsidR="003119F8" w:rsidRPr="00A24502" w:rsidRDefault="003119F8" w:rsidP="00320F7F">
      <w:pPr>
        <w:rPr>
          <w:sz w:val="22"/>
          <w:szCs w:val="22"/>
        </w:rPr>
      </w:pPr>
      <w:r w:rsidRPr="00A24502">
        <w:rPr>
          <w:sz w:val="22"/>
          <w:szCs w:val="22"/>
        </w:rPr>
        <w:t>In State v. Cervantes, 2012 WL 6778493 (Wash. App. 2012) (unpublished), the court affirmed the admission of a recorded statement made by a witness who could not recall the incident at trial. Despite partial inconsistencies, the witness did not disavow the statement, and the court found the recording process reliable and corroborated by other evidence.</w:t>
      </w:r>
    </w:p>
    <w:p w14:paraId="67763F32" w14:textId="77777777" w:rsidR="003119F8" w:rsidRPr="00A24502" w:rsidRDefault="003119F8" w:rsidP="003119F8">
      <w:pPr>
        <w:rPr>
          <w:sz w:val="22"/>
          <w:szCs w:val="22"/>
        </w:rPr>
      </w:pPr>
      <w:r w:rsidRPr="00A24502">
        <w:rPr>
          <w:sz w:val="22"/>
          <w:szCs w:val="22"/>
        </w:rPr>
        <w:t>In In re Jones, 2021 WL 5295801 (Wash. App. 2021) (unpublished), the court rejected the admission of a third party’s statement concerning an alleged confession. The statement was made years after the event, was later recanted, and lacked sufficient indicia of reliability. The court held it did not qualify under ER 803(a)(5) and affirmed the denial of the personal restraint petition.</w:t>
      </w:r>
    </w:p>
    <w:p w14:paraId="00CCDC2D" w14:textId="77777777" w:rsidR="003119F8" w:rsidRPr="00A24502" w:rsidRDefault="003119F8" w:rsidP="003119F8">
      <w:pPr>
        <w:rPr>
          <w:sz w:val="22"/>
          <w:szCs w:val="22"/>
        </w:rPr>
      </w:pPr>
      <w:r w:rsidRPr="00A24502">
        <w:rPr>
          <w:sz w:val="22"/>
          <w:szCs w:val="22"/>
        </w:rPr>
        <w:t>In State v. Alexander, 2023 WL 2818027 (Wash. App. 2023) (unpublished), the appellate court upheld the exclusion of a diary entry under ER 803(a)(5), finding the necessary foundation lacking. The court determined that the entry’s accuracy and reliability were not established, and the exclusion did not constitute an abuse of discretion.</w:t>
      </w:r>
    </w:p>
    <w:p w14:paraId="4D26E5F6" w14:textId="77777777" w:rsidR="008E654D" w:rsidRPr="00A24502" w:rsidRDefault="008E654D" w:rsidP="008E654D">
      <w:pPr>
        <w:rPr>
          <w:sz w:val="22"/>
          <w:szCs w:val="22"/>
        </w:rPr>
      </w:pPr>
    </w:p>
    <w:p w14:paraId="1A1FCD72" w14:textId="6AC2E718" w:rsidR="00CB6E21" w:rsidRPr="00CB6E21" w:rsidRDefault="00CB6E21" w:rsidP="002712F9">
      <w:pPr>
        <w:pStyle w:val="Heading2"/>
        <w:rPr>
          <w:b/>
          <w:bCs/>
          <w:color w:val="auto"/>
          <w:sz w:val="22"/>
          <w:szCs w:val="22"/>
        </w:rPr>
      </w:pPr>
      <w:bookmarkStart w:id="5" w:name="_Toc196247723"/>
      <w:r w:rsidRPr="00CB6E21">
        <w:rPr>
          <w:b/>
          <w:bCs/>
          <w:color w:val="auto"/>
          <w:sz w:val="22"/>
          <w:szCs w:val="22"/>
        </w:rPr>
        <w:t>Hearsay Exceptions – Declarant Unavailable (ER 804)</w:t>
      </w:r>
      <w:bookmarkEnd w:id="5"/>
    </w:p>
    <w:p w14:paraId="51195FA3" w14:textId="0C789267" w:rsidR="00CB6E21" w:rsidRPr="00A24502" w:rsidRDefault="00BA0AA2" w:rsidP="00CB6E21">
      <w:pPr>
        <w:rPr>
          <w:sz w:val="22"/>
          <w:szCs w:val="22"/>
        </w:rPr>
      </w:pPr>
      <w:r w:rsidRPr="00A24502">
        <w:rPr>
          <w:sz w:val="22"/>
          <w:szCs w:val="22"/>
        </w:rPr>
        <w:t xml:space="preserve">As these are not the focus of this presentation, these exceptions are only mentioned in passing but should be considered when assessing whether some exception to hearsay applies to an extrajudicial statement in your case.  </w:t>
      </w:r>
      <w:r w:rsidRPr="00A24502">
        <w:rPr>
          <w:b/>
          <w:bCs/>
          <w:sz w:val="22"/>
          <w:szCs w:val="22"/>
        </w:rPr>
        <w:t>ER 804 a</w:t>
      </w:r>
      <w:r w:rsidR="00CB6E21" w:rsidRPr="00CB6E21">
        <w:rPr>
          <w:b/>
          <w:bCs/>
          <w:sz w:val="22"/>
          <w:szCs w:val="22"/>
        </w:rPr>
        <w:t>pplies</w:t>
      </w:r>
      <w:r w:rsidR="00CB6E21" w:rsidRPr="00CB6E21">
        <w:rPr>
          <w:sz w:val="22"/>
          <w:szCs w:val="22"/>
        </w:rPr>
        <w:t xml:space="preserve"> </w:t>
      </w:r>
      <w:r w:rsidR="00CB6E21" w:rsidRPr="00CB6E21">
        <w:rPr>
          <w:b/>
          <w:bCs/>
          <w:sz w:val="22"/>
          <w:szCs w:val="22"/>
        </w:rPr>
        <w:t>only when the declarant is unavailable</w:t>
      </w:r>
      <w:r w:rsidR="00077C8C" w:rsidRPr="00A24502">
        <w:rPr>
          <w:sz w:val="22"/>
          <w:szCs w:val="22"/>
        </w:rPr>
        <w:t xml:space="preserve">.  </w:t>
      </w:r>
    </w:p>
    <w:p w14:paraId="19109479" w14:textId="33EF0F18" w:rsidR="00077C8C" w:rsidRPr="00A24502" w:rsidRDefault="00077C8C" w:rsidP="00320F7F">
      <w:pPr>
        <w:rPr>
          <w:sz w:val="22"/>
          <w:szCs w:val="22"/>
          <w:u w:val="single"/>
        </w:rPr>
      </w:pPr>
      <w:r w:rsidRPr="00A24502">
        <w:rPr>
          <w:sz w:val="22"/>
          <w:szCs w:val="22"/>
          <w:u w:val="single"/>
        </w:rPr>
        <w:t>ER 804(a) Definition of Unavailability</w:t>
      </w:r>
      <w:r w:rsidR="00320F7F" w:rsidRPr="00A24502">
        <w:rPr>
          <w:sz w:val="22"/>
          <w:szCs w:val="22"/>
        </w:rPr>
        <w:t xml:space="preserve"> - </w:t>
      </w:r>
      <w:r w:rsidRPr="00A24502">
        <w:rPr>
          <w:sz w:val="22"/>
          <w:szCs w:val="22"/>
        </w:rPr>
        <w:t>A declarant is considered “unavailable” if they:</w:t>
      </w:r>
      <w:r w:rsidRPr="00A24502">
        <w:rPr>
          <w:sz w:val="22"/>
          <w:szCs w:val="22"/>
        </w:rPr>
        <w:t xml:space="preserve"> </w:t>
      </w:r>
    </w:p>
    <w:p w14:paraId="006FEBF0" w14:textId="1C638A74" w:rsidR="00077C8C" w:rsidRPr="00A24502" w:rsidRDefault="00077C8C" w:rsidP="00D722CA">
      <w:pPr>
        <w:pStyle w:val="ListParagraph"/>
        <w:numPr>
          <w:ilvl w:val="0"/>
          <w:numId w:val="27"/>
        </w:numPr>
        <w:rPr>
          <w:sz w:val="22"/>
          <w:szCs w:val="22"/>
        </w:rPr>
      </w:pPr>
      <w:r w:rsidRPr="00A24502">
        <w:rPr>
          <w:sz w:val="22"/>
          <w:szCs w:val="22"/>
        </w:rPr>
        <w:t>Are exempted from testifying on the ground of privilege.</w:t>
      </w:r>
    </w:p>
    <w:p w14:paraId="03DCDAD7" w14:textId="77777777" w:rsidR="00077C8C" w:rsidRPr="00A24502" w:rsidRDefault="00077C8C" w:rsidP="00077C8C">
      <w:pPr>
        <w:pStyle w:val="ListParagraph"/>
        <w:numPr>
          <w:ilvl w:val="0"/>
          <w:numId w:val="27"/>
        </w:numPr>
        <w:rPr>
          <w:sz w:val="22"/>
          <w:szCs w:val="22"/>
        </w:rPr>
      </w:pPr>
      <w:r w:rsidRPr="00A24502">
        <w:rPr>
          <w:sz w:val="22"/>
          <w:szCs w:val="22"/>
        </w:rPr>
        <w:t>Refuse to testify despite a court order.</w:t>
      </w:r>
    </w:p>
    <w:p w14:paraId="4E1BCB2B" w14:textId="77777777" w:rsidR="00077C8C" w:rsidRPr="00A24502" w:rsidRDefault="00077C8C" w:rsidP="00077C8C">
      <w:pPr>
        <w:pStyle w:val="ListParagraph"/>
        <w:numPr>
          <w:ilvl w:val="0"/>
          <w:numId w:val="27"/>
        </w:numPr>
        <w:rPr>
          <w:sz w:val="22"/>
          <w:szCs w:val="22"/>
        </w:rPr>
      </w:pPr>
      <w:r w:rsidRPr="00A24502">
        <w:rPr>
          <w:sz w:val="22"/>
          <w:szCs w:val="22"/>
        </w:rPr>
        <w:t>Claim lack of memory about the subject matter.</w:t>
      </w:r>
    </w:p>
    <w:p w14:paraId="400C3A91" w14:textId="77777777" w:rsidR="00077C8C" w:rsidRPr="00A24502" w:rsidRDefault="00077C8C" w:rsidP="00077C8C">
      <w:pPr>
        <w:pStyle w:val="ListParagraph"/>
        <w:numPr>
          <w:ilvl w:val="0"/>
          <w:numId w:val="27"/>
        </w:numPr>
        <w:rPr>
          <w:sz w:val="22"/>
          <w:szCs w:val="22"/>
        </w:rPr>
      </w:pPr>
      <w:r w:rsidRPr="00A24502">
        <w:rPr>
          <w:sz w:val="22"/>
          <w:szCs w:val="22"/>
        </w:rPr>
        <w:t>Are unable to be present due to death or illness.</w:t>
      </w:r>
    </w:p>
    <w:p w14:paraId="3E62E9A2" w14:textId="77777777" w:rsidR="00D722CA" w:rsidRPr="00A24502" w:rsidRDefault="00077C8C" w:rsidP="00077C8C">
      <w:pPr>
        <w:pStyle w:val="ListParagraph"/>
        <w:numPr>
          <w:ilvl w:val="0"/>
          <w:numId w:val="27"/>
        </w:numPr>
        <w:rPr>
          <w:sz w:val="22"/>
          <w:szCs w:val="22"/>
        </w:rPr>
      </w:pPr>
      <w:r w:rsidRPr="00A24502">
        <w:rPr>
          <w:sz w:val="22"/>
          <w:szCs w:val="22"/>
        </w:rPr>
        <w:t>Are absent and cannot be procured by reasonable means.</w:t>
      </w:r>
    </w:p>
    <w:p w14:paraId="01278E94" w14:textId="1C9C973E" w:rsidR="00077C8C" w:rsidRPr="00A24502" w:rsidRDefault="00077C8C" w:rsidP="00077C8C">
      <w:pPr>
        <w:pStyle w:val="ListParagraph"/>
        <w:numPr>
          <w:ilvl w:val="0"/>
          <w:numId w:val="27"/>
        </w:numPr>
        <w:rPr>
          <w:sz w:val="22"/>
          <w:szCs w:val="22"/>
        </w:rPr>
      </w:pPr>
      <w:r w:rsidRPr="00A24502">
        <w:rPr>
          <w:sz w:val="22"/>
          <w:szCs w:val="22"/>
        </w:rPr>
        <w:t>A declarant is not unavailable if the statement’s proponent wrongfully caused the unavailability (see 804(b)(6)).</w:t>
      </w:r>
    </w:p>
    <w:p w14:paraId="1835DD59" w14:textId="5BEE09ED" w:rsidR="00D722CA" w:rsidRPr="00A24502" w:rsidRDefault="00077C8C" w:rsidP="00077C8C">
      <w:pPr>
        <w:rPr>
          <w:sz w:val="22"/>
          <w:szCs w:val="22"/>
        </w:rPr>
      </w:pPr>
      <w:r w:rsidRPr="00A24502">
        <w:rPr>
          <w:sz w:val="22"/>
          <w:szCs w:val="22"/>
          <w:u w:val="single"/>
        </w:rPr>
        <w:t>ER 804</w:t>
      </w:r>
      <w:r w:rsidR="00D722CA" w:rsidRPr="00A24502">
        <w:rPr>
          <w:sz w:val="22"/>
          <w:szCs w:val="22"/>
          <w:u w:val="single"/>
        </w:rPr>
        <w:t>(b)</w:t>
      </w:r>
      <w:r w:rsidRPr="00A24502">
        <w:rPr>
          <w:sz w:val="22"/>
          <w:szCs w:val="22"/>
          <w:u w:val="single"/>
        </w:rPr>
        <w:t xml:space="preserve"> </w:t>
      </w:r>
      <w:r w:rsidRPr="00A24502">
        <w:rPr>
          <w:sz w:val="22"/>
          <w:szCs w:val="22"/>
          <w:u w:val="single"/>
        </w:rPr>
        <w:t>Hearsay Exceptions When Declarant Is Unavailable</w:t>
      </w:r>
      <w:r w:rsidR="00D722CA" w:rsidRPr="00A24502">
        <w:rPr>
          <w:sz w:val="22"/>
          <w:szCs w:val="22"/>
        </w:rPr>
        <w:t>:</w:t>
      </w:r>
    </w:p>
    <w:p w14:paraId="7FE3AFA7" w14:textId="65EEE0E0" w:rsidR="00077C8C" w:rsidRPr="00A24502" w:rsidRDefault="00077C8C" w:rsidP="00077C8C">
      <w:pPr>
        <w:rPr>
          <w:sz w:val="22"/>
          <w:szCs w:val="22"/>
        </w:rPr>
      </w:pPr>
      <w:r w:rsidRPr="00A24502">
        <w:rPr>
          <w:sz w:val="22"/>
          <w:szCs w:val="22"/>
        </w:rPr>
        <w:t xml:space="preserve">The following </w:t>
      </w:r>
      <w:r w:rsidRPr="00A24502">
        <w:rPr>
          <w:sz w:val="22"/>
          <w:szCs w:val="22"/>
        </w:rPr>
        <w:t xml:space="preserve">is </w:t>
      </w:r>
      <w:proofErr w:type="gramStart"/>
      <w:r w:rsidRPr="00A24502">
        <w:rPr>
          <w:sz w:val="22"/>
          <w:szCs w:val="22"/>
        </w:rPr>
        <w:t>a brief summary</w:t>
      </w:r>
      <w:proofErr w:type="gramEnd"/>
      <w:r w:rsidRPr="00A24502">
        <w:rPr>
          <w:sz w:val="22"/>
          <w:szCs w:val="22"/>
        </w:rPr>
        <w:t xml:space="preserve"> of statements that </w:t>
      </w:r>
      <w:r w:rsidRPr="00A24502">
        <w:rPr>
          <w:sz w:val="22"/>
          <w:szCs w:val="22"/>
        </w:rPr>
        <w:t>are not excluded by the hearsay rule if the declarant is unavailable</w:t>
      </w:r>
      <w:r w:rsidRPr="00A24502">
        <w:rPr>
          <w:sz w:val="22"/>
          <w:szCs w:val="22"/>
        </w:rPr>
        <w:t>.  More explanation is provided on the Forfeiture by Wrongdoing section as it is more frequently proposed by the prosecution.</w:t>
      </w:r>
    </w:p>
    <w:p w14:paraId="05B5DB36" w14:textId="66EB5423" w:rsidR="00077C8C" w:rsidRPr="00A24502" w:rsidRDefault="00077C8C" w:rsidP="00077C8C">
      <w:pPr>
        <w:ind w:left="720"/>
        <w:rPr>
          <w:sz w:val="22"/>
          <w:szCs w:val="22"/>
        </w:rPr>
      </w:pPr>
      <w:r w:rsidRPr="00A24502">
        <w:rPr>
          <w:sz w:val="22"/>
          <w:szCs w:val="22"/>
        </w:rPr>
        <w:lastRenderedPageBreak/>
        <w:t xml:space="preserve">(1) </w:t>
      </w:r>
      <w:r w:rsidRPr="00A24502">
        <w:rPr>
          <w:sz w:val="22"/>
          <w:szCs w:val="22"/>
          <w:u w:val="single"/>
        </w:rPr>
        <w:t>Former Testimony</w:t>
      </w:r>
      <w:r w:rsidRPr="00A24502">
        <w:rPr>
          <w:sz w:val="22"/>
          <w:szCs w:val="22"/>
          <w:u w:val="single"/>
        </w:rPr>
        <w:t>, ER 804(b)(1)</w:t>
      </w:r>
      <w:proofErr w:type="gramStart"/>
      <w:r w:rsidRPr="00A24502">
        <w:rPr>
          <w:sz w:val="22"/>
          <w:szCs w:val="22"/>
        </w:rPr>
        <w:t>:</w:t>
      </w:r>
      <w:r w:rsidRPr="00A24502">
        <w:rPr>
          <w:sz w:val="22"/>
          <w:szCs w:val="22"/>
          <w:u w:val="single"/>
        </w:rPr>
        <w:t xml:space="preserve">  </w:t>
      </w:r>
      <w:r w:rsidRPr="00A24502">
        <w:rPr>
          <w:sz w:val="22"/>
          <w:szCs w:val="22"/>
        </w:rPr>
        <w:t>Testimony</w:t>
      </w:r>
      <w:proofErr w:type="gramEnd"/>
      <w:r w:rsidRPr="00A24502">
        <w:rPr>
          <w:sz w:val="22"/>
          <w:szCs w:val="22"/>
        </w:rPr>
        <w:t xml:space="preserve"> given in another hearing or deposition, if the party against whom it is offered had an opportunity and similar motive to develop it by examination.</w:t>
      </w:r>
    </w:p>
    <w:p w14:paraId="3AAFD58E" w14:textId="2EC2C20B" w:rsidR="00077C8C" w:rsidRPr="00A24502" w:rsidRDefault="00077C8C" w:rsidP="00077C8C">
      <w:pPr>
        <w:ind w:left="720"/>
        <w:rPr>
          <w:sz w:val="22"/>
          <w:szCs w:val="22"/>
          <w:u w:val="single"/>
        </w:rPr>
      </w:pPr>
      <w:r w:rsidRPr="00A24502">
        <w:rPr>
          <w:sz w:val="22"/>
          <w:szCs w:val="22"/>
        </w:rPr>
        <w:t xml:space="preserve">(2) </w:t>
      </w:r>
      <w:r w:rsidRPr="00A24502">
        <w:rPr>
          <w:sz w:val="22"/>
          <w:szCs w:val="22"/>
          <w:u w:val="single"/>
        </w:rPr>
        <w:t>Statement Under Belief of Imminent Death</w:t>
      </w:r>
      <w:r w:rsidRPr="00A24502">
        <w:rPr>
          <w:sz w:val="22"/>
          <w:szCs w:val="22"/>
          <w:u w:val="single"/>
        </w:rPr>
        <w:t xml:space="preserve">, </w:t>
      </w:r>
      <w:r w:rsidRPr="00A24502">
        <w:rPr>
          <w:sz w:val="22"/>
          <w:szCs w:val="22"/>
          <w:u w:val="single"/>
        </w:rPr>
        <w:t>ER 804(b)</w:t>
      </w:r>
      <w:r w:rsidRPr="00A24502">
        <w:rPr>
          <w:sz w:val="22"/>
          <w:szCs w:val="22"/>
          <w:u w:val="single"/>
        </w:rPr>
        <w:t>(2):</w:t>
      </w:r>
      <w:r w:rsidRPr="00A24502">
        <w:rPr>
          <w:sz w:val="22"/>
          <w:szCs w:val="22"/>
        </w:rPr>
        <w:t xml:space="preserve">  </w:t>
      </w:r>
      <w:r w:rsidRPr="00A24502">
        <w:rPr>
          <w:sz w:val="22"/>
          <w:szCs w:val="22"/>
        </w:rPr>
        <w:t>A statement made while believing death was imminent, concerning the cause or circumstances of what the declarant believed to be impending death.</w:t>
      </w:r>
    </w:p>
    <w:p w14:paraId="47AF039F" w14:textId="67C9A120" w:rsidR="00077C8C" w:rsidRPr="00A24502" w:rsidRDefault="00077C8C" w:rsidP="00077C8C">
      <w:pPr>
        <w:ind w:left="720"/>
        <w:rPr>
          <w:sz w:val="22"/>
          <w:szCs w:val="22"/>
          <w:u w:val="single"/>
        </w:rPr>
      </w:pPr>
      <w:r w:rsidRPr="00A24502">
        <w:rPr>
          <w:sz w:val="22"/>
          <w:szCs w:val="22"/>
        </w:rPr>
        <w:t xml:space="preserve">(3) </w:t>
      </w:r>
      <w:r w:rsidRPr="00A24502">
        <w:rPr>
          <w:sz w:val="22"/>
          <w:szCs w:val="22"/>
          <w:u w:val="single"/>
        </w:rPr>
        <w:t>Statement Against Interest</w:t>
      </w:r>
      <w:r w:rsidRPr="00A24502">
        <w:rPr>
          <w:sz w:val="22"/>
          <w:szCs w:val="22"/>
          <w:u w:val="single"/>
        </w:rPr>
        <w:t xml:space="preserve">, </w:t>
      </w:r>
      <w:r w:rsidRPr="00A24502">
        <w:rPr>
          <w:sz w:val="22"/>
          <w:szCs w:val="22"/>
          <w:u w:val="single"/>
        </w:rPr>
        <w:t>ER 804(b)</w:t>
      </w:r>
      <w:r w:rsidRPr="00A24502">
        <w:rPr>
          <w:sz w:val="22"/>
          <w:szCs w:val="22"/>
          <w:u w:val="single"/>
        </w:rPr>
        <w:t>(3)</w:t>
      </w:r>
      <w:proofErr w:type="gramStart"/>
      <w:r w:rsidRPr="00A24502">
        <w:rPr>
          <w:sz w:val="22"/>
          <w:szCs w:val="22"/>
          <w:u w:val="single"/>
        </w:rPr>
        <w:t>:</w:t>
      </w:r>
      <w:r w:rsidRPr="00A24502">
        <w:rPr>
          <w:sz w:val="22"/>
          <w:szCs w:val="22"/>
        </w:rPr>
        <w:t xml:space="preserve">  </w:t>
      </w:r>
      <w:r w:rsidRPr="00A24502">
        <w:rPr>
          <w:sz w:val="22"/>
          <w:szCs w:val="22"/>
        </w:rPr>
        <w:t>A</w:t>
      </w:r>
      <w:proofErr w:type="gramEnd"/>
      <w:r w:rsidRPr="00A24502">
        <w:rPr>
          <w:sz w:val="22"/>
          <w:szCs w:val="22"/>
        </w:rPr>
        <w:t xml:space="preserve"> statement that was so contrary to the declarant’s own interest that a reasonable person would not have said it unless it were true. This includes penal interest if corroborating circumstances clearly indicate trustworthiness.</w:t>
      </w:r>
    </w:p>
    <w:p w14:paraId="328AFD98" w14:textId="73E56C2E" w:rsidR="00077C8C" w:rsidRPr="00A24502" w:rsidRDefault="00077C8C" w:rsidP="00077C8C">
      <w:pPr>
        <w:ind w:left="720"/>
        <w:rPr>
          <w:sz w:val="22"/>
          <w:szCs w:val="22"/>
          <w:u w:val="single"/>
        </w:rPr>
      </w:pPr>
      <w:r w:rsidRPr="00A24502">
        <w:rPr>
          <w:sz w:val="22"/>
          <w:szCs w:val="22"/>
        </w:rPr>
        <w:t xml:space="preserve">(4) </w:t>
      </w:r>
      <w:r w:rsidRPr="00A24502">
        <w:rPr>
          <w:sz w:val="22"/>
          <w:szCs w:val="22"/>
          <w:u w:val="single"/>
        </w:rPr>
        <w:t>Statement of Personal or Family History</w:t>
      </w:r>
      <w:r w:rsidRPr="00A24502">
        <w:rPr>
          <w:sz w:val="22"/>
          <w:szCs w:val="22"/>
          <w:u w:val="single"/>
        </w:rPr>
        <w:t xml:space="preserve">, </w:t>
      </w:r>
      <w:r w:rsidRPr="00A24502">
        <w:rPr>
          <w:sz w:val="22"/>
          <w:szCs w:val="22"/>
          <w:u w:val="single"/>
        </w:rPr>
        <w:t>ER 804(b)</w:t>
      </w:r>
      <w:r w:rsidRPr="00A24502">
        <w:rPr>
          <w:sz w:val="22"/>
          <w:szCs w:val="22"/>
          <w:u w:val="single"/>
        </w:rPr>
        <w:t>(4)</w:t>
      </w:r>
      <w:proofErr w:type="gramStart"/>
      <w:r w:rsidRPr="00A24502">
        <w:rPr>
          <w:sz w:val="22"/>
          <w:szCs w:val="22"/>
          <w:u w:val="single"/>
        </w:rPr>
        <w:t>:</w:t>
      </w:r>
      <w:r w:rsidRPr="00A24502">
        <w:rPr>
          <w:sz w:val="22"/>
          <w:szCs w:val="22"/>
        </w:rPr>
        <w:t xml:space="preserve">  </w:t>
      </w:r>
      <w:r w:rsidRPr="00A24502">
        <w:rPr>
          <w:sz w:val="22"/>
          <w:szCs w:val="22"/>
        </w:rPr>
        <w:t>Statements</w:t>
      </w:r>
      <w:proofErr w:type="gramEnd"/>
      <w:r w:rsidRPr="00A24502">
        <w:rPr>
          <w:sz w:val="22"/>
          <w:szCs w:val="22"/>
        </w:rPr>
        <w:t xml:space="preserve"> about birth, marriage, divorce, legitimacy, ancestry, etc., of the declarant or another person, if the declarant was closely associated with the subject.</w:t>
      </w:r>
    </w:p>
    <w:p w14:paraId="5D9D831B" w14:textId="7AB24914" w:rsidR="00077C8C" w:rsidRPr="00A24502" w:rsidRDefault="00077C8C" w:rsidP="00077C8C">
      <w:pPr>
        <w:ind w:left="720"/>
        <w:rPr>
          <w:sz w:val="22"/>
          <w:szCs w:val="22"/>
          <w:u w:val="single"/>
        </w:rPr>
      </w:pPr>
      <w:r w:rsidRPr="00A24502">
        <w:rPr>
          <w:sz w:val="22"/>
          <w:szCs w:val="22"/>
        </w:rPr>
        <w:t xml:space="preserve">(5) </w:t>
      </w:r>
      <w:r w:rsidRPr="00A24502">
        <w:rPr>
          <w:sz w:val="22"/>
          <w:szCs w:val="22"/>
          <w:u w:val="single"/>
        </w:rPr>
        <w:t>[Reserved]</w:t>
      </w:r>
      <w:r w:rsidRPr="00A24502">
        <w:rPr>
          <w:sz w:val="22"/>
          <w:szCs w:val="22"/>
          <w:u w:val="single"/>
        </w:rPr>
        <w:t xml:space="preserve"> </w:t>
      </w:r>
      <w:r w:rsidRPr="00A24502">
        <w:rPr>
          <w:sz w:val="22"/>
          <w:szCs w:val="22"/>
          <w:u w:val="single"/>
        </w:rPr>
        <w:t>No current provision under this section in Washington's ER 804.</w:t>
      </w:r>
    </w:p>
    <w:p w14:paraId="74AA6A2F" w14:textId="43741BBE" w:rsidR="00077C8C" w:rsidRPr="00A24502" w:rsidRDefault="00077C8C" w:rsidP="00077C8C">
      <w:pPr>
        <w:ind w:left="720"/>
        <w:rPr>
          <w:sz w:val="22"/>
          <w:szCs w:val="22"/>
        </w:rPr>
      </w:pPr>
      <w:r w:rsidRPr="00A24502">
        <w:rPr>
          <w:sz w:val="22"/>
          <w:szCs w:val="22"/>
        </w:rPr>
        <w:t xml:space="preserve">(6) </w:t>
      </w:r>
      <w:r w:rsidRPr="00A24502">
        <w:rPr>
          <w:sz w:val="22"/>
          <w:szCs w:val="22"/>
          <w:u w:val="single"/>
        </w:rPr>
        <w:t>Forfeiture by Wrongdoing</w:t>
      </w:r>
      <w:r w:rsidRPr="00A24502">
        <w:rPr>
          <w:sz w:val="22"/>
          <w:szCs w:val="22"/>
          <w:u w:val="single"/>
        </w:rPr>
        <w:t xml:space="preserve">, </w:t>
      </w:r>
      <w:r w:rsidRPr="00A24502">
        <w:rPr>
          <w:sz w:val="22"/>
          <w:szCs w:val="22"/>
          <w:u w:val="single"/>
        </w:rPr>
        <w:t>ER 804(b)</w:t>
      </w:r>
      <w:r w:rsidRPr="00A24502">
        <w:rPr>
          <w:sz w:val="22"/>
          <w:szCs w:val="22"/>
          <w:u w:val="single"/>
        </w:rPr>
        <w:t>(6):</w:t>
      </w:r>
    </w:p>
    <w:p w14:paraId="48B880FD" w14:textId="77777777" w:rsidR="00077C8C" w:rsidRPr="00A24502" w:rsidRDefault="00077C8C" w:rsidP="00077C8C">
      <w:pPr>
        <w:rPr>
          <w:sz w:val="22"/>
          <w:szCs w:val="22"/>
        </w:rPr>
      </w:pPr>
      <w:r w:rsidRPr="00A24502">
        <w:rPr>
          <w:sz w:val="22"/>
          <w:szCs w:val="22"/>
        </w:rPr>
        <w:t>A statement offered against a party that intentionally and wrongfully caused—or acquiesced in causing—the declarant’s unavailability as a witness.</w:t>
      </w:r>
    </w:p>
    <w:p w14:paraId="44D8CBDD" w14:textId="77777777" w:rsidR="00BA0AA2" w:rsidRPr="00A24502" w:rsidRDefault="00BA0AA2" w:rsidP="00BA0AA2">
      <w:pPr>
        <w:rPr>
          <w:sz w:val="22"/>
          <w:szCs w:val="22"/>
        </w:rPr>
      </w:pPr>
      <w:r w:rsidRPr="00A24502">
        <w:rPr>
          <w:sz w:val="22"/>
          <w:szCs w:val="22"/>
        </w:rPr>
        <w:t>Under Washington's Evidence Rule 804(b)(6), a hearsay statement is admissible against a party who has engaged in wrongdoing that was intended to, and did, procure the unavailability of the declarant as a witness. This rule, known as "forfeiture by wrongdoing," is designed to prevent a party from benefiting from their own misconduct that causes a witness to be unavailable for testimony.</w:t>
      </w:r>
      <w:r w:rsidRPr="00A24502">
        <w:rPr>
          <w:rFonts w:ascii="Arial" w:hAnsi="Arial" w:cs="Arial"/>
          <w:sz w:val="22"/>
          <w:szCs w:val="22"/>
        </w:rPr>
        <w:t>​</w:t>
      </w:r>
    </w:p>
    <w:p w14:paraId="5E6EBB03" w14:textId="77777777" w:rsidR="00BA0AA2" w:rsidRPr="00A24502" w:rsidRDefault="00BA0AA2" w:rsidP="00BA0AA2">
      <w:pPr>
        <w:rPr>
          <w:sz w:val="22"/>
          <w:szCs w:val="22"/>
        </w:rPr>
      </w:pPr>
      <w:r w:rsidRPr="00A24502">
        <w:rPr>
          <w:sz w:val="22"/>
          <w:szCs w:val="22"/>
        </w:rPr>
        <w:t xml:space="preserve">For the exception to apply, the proponent must demonstrate by a preponderance of the evidence that the opposing party engaged in wrongful conduct specifically intended to make the declarant unavailable, and that this conduct </w:t>
      </w:r>
      <w:proofErr w:type="gramStart"/>
      <w:r w:rsidRPr="00A24502">
        <w:rPr>
          <w:sz w:val="22"/>
          <w:szCs w:val="22"/>
        </w:rPr>
        <w:t>actually resulted</w:t>
      </w:r>
      <w:proofErr w:type="gramEnd"/>
      <w:r w:rsidRPr="00A24502">
        <w:rPr>
          <w:sz w:val="22"/>
          <w:szCs w:val="22"/>
        </w:rPr>
        <w:t xml:space="preserve"> in the declarant's unavailability. This standard was discussed in the context of federal rules, which Washington's rule mirrors in this regard. </w:t>
      </w:r>
      <w:r w:rsidRPr="00A24502">
        <w:rPr>
          <w:rFonts w:ascii="Arial" w:hAnsi="Arial" w:cs="Arial"/>
          <w:sz w:val="22"/>
          <w:szCs w:val="22"/>
        </w:rPr>
        <w:t>​</w:t>
      </w:r>
    </w:p>
    <w:p w14:paraId="53B43AF7" w14:textId="77777777" w:rsidR="00BA0AA2" w:rsidRPr="00A24502" w:rsidRDefault="00BA0AA2" w:rsidP="00BA0AA2">
      <w:pPr>
        <w:rPr>
          <w:sz w:val="22"/>
          <w:szCs w:val="22"/>
        </w:rPr>
      </w:pPr>
      <w:r w:rsidRPr="00A24502">
        <w:rPr>
          <w:sz w:val="22"/>
          <w:szCs w:val="22"/>
        </w:rPr>
        <w:t xml:space="preserve">It's important to note that the wrongdoing need not be criminal; any conduct that intentionally causes a witness's unavailability can trigger this exception. However, mere acquiescence or passive behavior is generally insufficient; there must be evidence of intentional action aimed at preventing the witness from testifying. </w:t>
      </w:r>
      <w:r w:rsidRPr="00A24502">
        <w:rPr>
          <w:rFonts w:ascii="Arial" w:hAnsi="Arial" w:cs="Arial"/>
          <w:sz w:val="22"/>
          <w:szCs w:val="22"/>
        </w:rPr>
        <w:t>​</w:t>
      </w:r>
    </w:p>
    <w:p w14:paraId="4D174E61" w14:textId="09442721" w:rsidR="00CB6E21" w:rsidRPr="00A24502" w:rsidRDefault="00BA0AA2" w:rsidP="00BA0AA2">
      <w:pPr>
        <w:rPr>
          <w:sz w:val="22"/>
          <w:szCs w:val="22"/>
        </w:rPr>
      </w:pPr>
      <w:r w:rsidRPr="00A24502">
        <w:rPr>
          <w:sz w:val="22"/>
          <w:szCs w:val="22"/>
        </w:rPr>
        <w:t>In practice, this rule has been applied in cases where, for example, a defendant threatens a witness to dissuade them from testifying, leading to their absence at trial. In such scenarios, the witness's prior statements may be admitted under ER 804(b)(6) despite their hearsay nature, as the defendant's own misconduct has forfeited their right to object to the hearsay.</w:t>
      </w:r>
    </w:p>
    <w:p w14:paraId="2476A5BE" w14:textId="29591A0F" w:rsidR="00BA0AA2" w:rsidRPr="00A24502" w:rsidRDefault="00BA0AA2" w:rsidP="00BA0AA2">
      <w:pPr>
        <w:rPr>
          <w:sz w:val="22"/>
          <w:szCs w:val="22"/>
        </w:rPr>
      </w:pPr>
      <w:r w:rsidRPr="00A24502">
        <w:rPr>
          <w:sz w:val="22"/>
          <w:szCs w:val="22"/>
        </w:rPr>
        <w:t>Potentially problematic cases:</w:t>
      </w:r>
    </w:p>
    <w:p w14:paraId="423315CC" w14:textId="70E271B0" w:rsidR="00BA0AA2" w:rsidRPr="00A24502" w:rsidRDefault="00BA0AA2" w:rsidP="00BA0AA2">
      <w:pPr>
        <w:rPr>
          <w:sz w:val="22"/>
          <w:szCs w:val="22"/>
        </w:rPr>
      </w:pPr>
      <w:r w:rsidRPr="00A24502">
        <w:rPr>
          <w:sz w:val="22"/>
          <w:szCs w:val="22"/>
        </w:rPr>
        <w:lastRenderedPageBreak/>
        <w:t xml:space="preserve">ER 804(a)(4) states that a declarant is unavailable as a witness if they are unable to be present or to testify at the hearing because of death or then existing physical or mental illness or infirmity. State v. Beadle, 173 Wash.2d 97 265 P.3d 863 (Wash. 2011) (265 P.3d at 872). In State v. </w:t>
      </w:r>
      <w:proofErr w:type="gramStart"/>
      <w:r w:rsidRPr="00A24502">
        <w:rPr>
          <w:sz w:val="22"/>
          <w:szCs w:val="22"/>
        </w:rPr>
        <w:t>Beadle ,</w:t>
      </w:r>
      <w:proofErr w:type="gramEnd"/>
      <w:r w:rsidRPr="00A24502">
        <w:rPr>
          <w:sz w:val="22"/>
          <w:szCs w:val="22"/>
        </w:rPr>
        <w:t xml:space="preserve"> the Washington Supreme Court affirmed the trial court's finding that a child witness was unavailable due to mental illness stemming from PTSD and sexual abuse, rendering her unable to testify. (265 P.3d at 873). The court emphasized the trial court's efforts to secure the child's testimony, including proposing alternative means, but ultimately concluded that the child's unwillingness to testify, coupled with her mental state, satisfied the requirements of ER 804(a)(4). (265 P.3d at 873).</w:t>
      </w:r>
    </w:p>
    <w:p w14:paraId="1226BBED" w14:textId="437B2BC5" w:rsidR="00CB6E21" w:rsidRPr="00CB6E21" w:rsidRDefault="00CB6E21" w:rsidP="002712F9">
      <w:pPr>
        <w:pStyle w:val="Heading2"/>
        <w:rPr>
          <w:b/>
          <w:bCs/>
          <w:color w:val="auto"/>
          <w:sz w:val="22"/>
          <w:szCs w:val="22"/>
        </w:rPr>
      </w:pPr>
      <w:bookmarkStart w:id="6" w:name="_Toc196247724"/>
      <w:r w:rsidRPr="00CB6E21">
        <w:rPr>
          <w:b/>
          <w:bCs/>
          <w:color w:val="auto"/>
          <w:sz w:val="22"/>
          <w:szCs w:val="22"/>
        </w:rPr>
        <w:t>Residual Exception – ER 803(a)(24)</w:t>
      </w:r>
      <w:bookmarkEnd w:id="6"/>
    </w:p>
    <w:p w14:paraId="0ECB4BEC" w14:textId="554BF5FC" w:rsidR="00CB6E21" w:rsidRPr="00A24502" w:rsidRDefault="00BA0AA2" w:rsidP="00BA0AA2">
      <w:pPr>
        <w:tabs>
          <w:tab w:val="num" w:pos="720"/>
        </w:tabs>
        <w:rPr>
          <w:sz w:val="22"/>
          <w:szCs w:val="22"/>
        </w:rPr>
      </w:pPr>
      <w:r w:rsidRPr="00A24502">
        <w:rPr>
          <w:sz w:val="22"/>
          <w:szCs w:val="22"/>
        </w:rPr>
        <w:t>Under Washington rules, a</w:t>
      </w:r>
      <w:r w:rsidR="00CB6E21" w:rsidRPr="00CB6E21">
        <w:rPr>
          <w:sz w:val="22"/>
          <w:szCs w:val="22"/>
        </w:rPr>
        <w:t xml:space="preserve"> statement not covered by ER 803 or 804 but with </w:t>
      </w:r>
      <w:r w:rsidR="00CB6E21" w:rsidRPr="00CB6E21">
        <w:rPr>
          <w:b/>
          <w:bCs/>
          <w:sz w:val="22"/>
          <w:szCs w:val="22"/>
        </w:rPr>
        <w:t>equivalent guarantees of trustworthiness</w:t>
      </w:r>
      <w:r w:rsidR="00CB6E21" w:rsidRPr="00CB6E21">
        <w:rPr>
          <w:sz w:val="22"/>
          <w:szCs w:val="22"/>
        </w:rPr>
        <w:t xml:space="preserve"> may be admitted if:</w:t>
      </w:r>
      <w:r w:rsidRPr="00A24502">
        <w:rPr>
          <w:sz w:val="22"/>
          <w:szCs w:val="22"/>
        </w:rPr>
        <w:t xml:space="preserve"> </w:t>
      </w:r>
      <w:r w:rsidR="00CB6E21" w:rsidRPr="00CB6E21">
        <w:rPr>
          <w:sz w:val="22"/>
          <w:szCs w:val="22"/>
        </w:rPr>
        <w:t>It is more probative on the point than any other evidence</w:t>
      </w:r>
      <w:r w:rsidRPr="00A24502">
        <w:rPr>
          <w:sz w:val="22"/>
          <w:szCs w:val="22"/>
        </w:rPr>
        <w:t xml:space="preserve">; </w:t>
      </w:r>
      <w:r w:rsidR="00CB6E21" w:rsidRPr="00CB6E21">
        <w:rPr>
          <w:sz w:val="22"/>
          <w:szCs w:val="22"/>
        </w:rPr>
        <w:t>The interests of justice are served</w:t>
      </w:r>
      <w:r w:rsidRPr="00A24502">
        <w:rPr>
          <w:sz w:val="22"/>
          <w:szCs w:val="22"/>
        </w:rPr>
        <w:t xml:space="preserve">; </w:t>
      </w:r>
      <w:r w:rsidR="00CB6E21" w:rsidRPr="00CB6E21">
        <w:rPr>
          <w:sz w:val="22"/>
          <w:szCs w:val="22"/>
        </w:rPr>
        <w:t>Advance notice is given.</w:t>
      </w:r>
      <w:r w:rsidRPr="00A24502">
        <w:rPr>
          <w:sz w:val="22"/>
          <w:szCs w:val="22"/>
        </w:rPr>
        <w:t xml:space="preserve">  However, a thorough search of case law reveals no precedent for admitting statements under this exception.  Be aware that someone might try to use it against your client </w:t>
      </w:r>
      <w:proofErr w:type="spellStart"/>
      <w:r w:rsidRPr="00A24502">
        <w:rPr>
          <w:sz w:val="22"/>
          <w:szCs w:val="22"/>
        </w:rPr>
        <w:t>some day</w:t>
      </w:r>
      <w:proofErr w:type="spellEnd"/>
      <w:r w:rsidRPr="00A24502">
        <w:rPr>
          <w:sz w:val="22"/>
          <w:szCs w:val="22"/>
        </w:rPr>
        <w:t>.</w:t>
      </w:r>
    </w:p>
    <w:p w14:paraId="198EFBBE" w14:textId="7522DAC4" w:rsidR="00320F7F" w:rsidRPr="00A24502" w:rsidRDefault="00320F7F">
      <w:pPr>
        <w:rPr>
          <w:sz w:val="22"/>
          <w:szCs w:val="22"/>
        </w:rPr>
      </w:pPr>
      <w:r w:rsidRPr="00A24502">
        <w:rPr>
          <w:sz w:val="22"/>
          <w:szCs w:val="22"/>
        </w:rPr>
        <w:br w:type="page"/>
      </w:r>
    </w:p>
    <w:p w14:paraId="552F833E" w14:textId="77777777" w:rsidR="002712F9" w:rsidRPr="00CB6E21" w:rsidRDefault="002712F9" w:rsidP="002712F9">
      <w:pPr>
        <w:rPr>
          <w:sz w:val="22"/>
          <w:szCs w:val="22"/>
        </w:rPr>
      </w:pPr>
    </w:p>
    <w:p w14:paraId="20622EE3" w14:textId="59D02CFE" w:rsidR="00997465" w:rsidRPr="00A24502" w:rsidRDefault="00811AB5" w:rsidP="00E27295">
      <w:pPr>
        <w:pStyle w:val="ListParagraph"/>
        <w:numPr>
          <w:ilvl w:val="0"/>
          <w:numId w:val="8"/>
        </w:numPr>
        <w:outlineLvl w:val="0"/>
        <w:rPr>
          <w:b/>
          <w:bCs/>
          <w:sz w:val="22"/>
          <w:szCs w:val="22"/>
          <w:u w:val="single"/>
        </w:rPr>
      </w:pPr>
      <w:bookmarkStart w:id="7" w:name="_Toc196247725"/>
      <w:r w:rsidRPr="00A24502">
        <w:rPr>
          <w:b/>
          <w:bCs/>
          <w:sz w:val="22"/>
          <w:szCs w:val="22"/>
          <w:u w:val="single"/>
        </w:rPr>
        <w:t xml:space="preserve">CHALLENGING THE ADMISSIBILITY OF </w:t>
      </w:r>
      <w:proofErr w:type="gramStart"/>
      <w:r w:rsidRPr="00A24502">
        <w:rPr>
          <w:b/>
          <w:bCs/>
          <w:sz w:val="22"/>
          <w:szCs w:val="22"/>
          <w:u w:val="single"/>
        </w:rPr>
        <w:t>A VERBAL</w:t>
      </w:r>
      <w:proofErr w:type="gramEnd"/>
      <w:r w:rsidRPr="00A24502">
        <w:rPr>
          <w:b/>
          <w:bCs/>
          <w:sz w:val="22"/>
          <w:szCs w:val="22"/>
          <w:u w:val="single"/>
        </w:rPr>
        <w:t xml:space="preserve"> AND WRITTEN EXTRAJUDICIAL STATEMENTS</w:t>
      </w:r>
      <w:bookmarkEnd w:id="7"/>
      <w:r w:rsidRPr="00A24502">
        <w:rPr>
          <w:b/>
          <w:bCs/>
          <w:sz w:val="22"/>
          <w:szCs w:val="22"/>
          <w:u w:val="single"/>
        </w:rPr>
        <w:t xml:space="preserve"> </w:t>
      </w:r>
    </w:p>
    <w:p w14:paraId="12A65819" w14:textId="77777777" w:rsidR="00773CCE" w:rsidRPr="00A24502" w:rsidRDefault="00773CCE" w:rsidP="00005E2D">
      <w:pPr>
        <w:pStyle w:val="ListParagraph"/>
        <w:ind w:left="1440"/>
        <w:rPr>
          <w:sz w:val="22"/>
          <w:szCs w:val="22"/>
          <w:u w:val="single"/>
        </w:rPr>
      </w:pPr>
    </w:p>
    <w:p w14:paraId="2EC5CFC1" w14:textId="269D4BE3" w:rsidR="00005E2D" w:rsidRPr="00A24502" w:rsidRDefault="00997465" w:rsidP="00005E2D">
      <w:pPr>
        <w:pStyle w:val="ListParagraph"/>
        <w:numPr>
          <w:ilvl w:val="1"/>
          <w:numId w:val="26"/>
        </w:numPr>
        <w:outlineLvl w:val="1"/>
        <w:rPr>
          <w:sz w:val="22"/>
          <w:szCs w:val="22"/>
          <w:u w:val="single"/>
        </w:rPr>
      </w:pPr>
      <w:bookmarkStart w:id="8" w:name="_Toc196247726"/>
      <w:r w:rsidRPr="00A24502">
        <w:rPr>
          <w:sz w:val="22"/>
          <w:szCs w:val="22"/>
          <w:u w:val="single"/>
        </w:rPr>
        <w:t>Argue that the written statement of the alleged victim is hearsay and not properly admissible under ER 801(d)(1)(</w:t>
      </w:r>
      <w:proofErr w:type="spellStart"/>
      <w:r w:rsidRPr="00A24502">
        <w:rPr>
          <w:sz w:val="22"/>
          <w:szCs w:val="22"/>
          <w:u w:val="single"/>
        </w:rPr>
        <w:t>i</w:t>
      </w:r>
      <w:proofErr w:type="spellEnd"/>
      <w:r w:rsidRPr="00A24502">
        <w:rPr>
          <w:sz w:val="22"/>
          <w:szCs w:val="22"/>
          <w:u w:val="single"/>
        </w:rPr>
        <w:t>)</w:t>
      </w:r>
      <w:r w:rsidR="00005E2D" w:rsidRPr="00A24502">
        <w:rPr>
          <w:sz w:val="22"/>
          <w:szCs w:val="22"/>
          <w:u w:val="single"/>
        </w:rPr>
        <w:t xml:space="preserve"> </w:t>
      </w:r>
      <w:r w:rsidR="00005E2D" w:rsidRPr="00A24502">
        <w:rPr>
          <w:sz w:val="22"/>
          <w:szCs w:val="22"/>
          <w:u w:val="single"/>
        </w:rPr>
        <w:t>Apply</w:t>
      </w:r>
      <w:r w:rsidR="00005E2D" w:rsidRPr="00A24502">
        <w:rPr>
          <w:sz w:val="22"/>
          <w:szCs w:val="22"/>
          <w:u w:val="single"/>
        </w:rPr>
        <w:t>ing</w:t>
      </w:r>
      <w:r w:rsidR="00005E2D" w:rsidRPr="00A24502">
        <w:rPr>
          <w:sz w:val="22"/>
          <w:szCs w:val="22"/>
          <w:u w:val="single"/>
        </w:rPr>
        <w:t xml:space="preserve"> </w:t>
      </w:r>
      <w:r w:rsidR="00005E2D" w:rsidRPr="00A24502">
        <w:rPr>
          <w:i/>
          <w:iCs/>
          <w:sz w:val="22"/>
          <w:szCs w:val="22"/>
          <w:u w:val="single"/>
        </w:rPr>
        <w:t>Smith</w:t>
      </w:r>
      <w:r w:rsidR="00005E2D" w:rsidRPr="00A24502">
        <w:rPr>
          <w:sz w:val="22"/>
          <w:szCs w:val="22"/>
          <w:u w:val="single"/>
        </w:rPr>
        <w:t xml:space="preserve"> and </w:t>
      </w:r>
      <w:r w:rsidR="00005E2D" w:rsidRPr="00A24502">
        <w:rPr>
          <w:i/>
          <w:iCs/>
          <w:sz w:val="22"/>
          <w:szCs w:val="22"/>
          <w:u w:val="single"/>
        </w:rPr>
        <w:t>Nelson</w:t>
      </w:r>
      <w:r w:rsidR="00005E2D" w:rsidRPr="00A24502">
        <w:rPr>
          <w:sz w:val="22"/>
          <w:szCs w:val="22"/>
          <w:u w:val="single"/>
        </w:rPr>
        <w:t xml:space="preserve"> to demonstrate that the statement at issue is inadmissible even under those cases</w:t>
      </w:r>
      <w:bookmarkEnd w:id="8"/>
    </w:p>
    <w:p w14:paraId="71AD8B89" w14:textId="6251FD3E" w:rsidR="00997465" w:rsidRPr="00A24502" w:rsidRDefault="00005E2D" w:rsidP="00005E2D">
      <w:pPr>
        <w:rPr>
          <w:sz w:val="22"/>
          <w:szCs w:val="22"/>
        </w:rPr>
      </w:pPr>
      <w:r w:rsidRPr="00A24502">
        <w:rPr>
          <w:sz w:val="22"/>
          <w:szCs w:val="22"/>
        </w:rPr>
        <w:t xml:space="preserve">Although there are strong arguments that Smith is </w:t>
      </w:r>
      <w:proofErr w:type="gramStart"/>
      <w:r w:rsidRPr="00A24502">
        <w:rPr>
          <w:sz w:val="22"/>
          <w:szCs w:val="22"/>
        </w:rPr>
        <w:t>bad</w:t>
      </w:r>
      <w:proofErr w:type="gramEnd"/>
      <w:r w:rsidRPr="00A24502">
        <w:rPr>
          <w:sz w:val="22"/>
          <w:szCs w:val="22"/>
        </w:rPr>
        <w:t xml:space="preserve"> law and should be overturned (discussed in more detail below and in briefing provided in the materials), and raising those arguments is a great idea, trial courts will not typically rule against </w:t>
      </w:r>
      <w:proofErr w:type="gramStart"/>
      <w:r w:rsidRPr="00A24502">
        <w:rPr>
          <w:sz w:val="22"/>
          <w:szCs w:val="22"/>
        </w:rPr>
        <w:t>precedent</w:t>
      </w:r>
      <w:proofErr w:type="gramEnd"/>
      <w:r w:rsidRPr="00A24502">
        <w:rPr>
          <w:sz w:val="22"/>
          <w:szCs w:val="22"/>
        </w:rPr>
        <w:t xml:space="preserve"> and you must apply the law as it stands to questions of admissibility of extrajudicial statements.</w:t>
      </w:r>
    </w:p>
    <w:p w14:paraId="42FAB0FF" w14:textId="77777777" w:rsidR="00005E2D" w:rsidRPr="00A24502" w:rsidRDefault="00005E2D" w:rsidP="00005E2D">
      <w:pPr>
        <w:rPr>
          <w:sz w:val="22"/>
          <w:szCs w:val="22"/>
        </w:rPr>
      </w:pPr>
      <w:r w:rsidRPr="00A24502">
        <w:rPr>
          <w:sz w:val="22"/>
          <w:szCs w:val="22"/>
        </w:rPr>
        <w:t>Under Washington law, ER 801(d)(1)(</w:t>
      </w:r>
      <w:proofErr w:type="spellStart"/>
      <w:r w:rsidRPr="00A24502">
        <w:rPr>
          <w:sz w:val="22"/>
          <w:szCs w:val="22"/>
        </w:rPr>
        <w:t>i</w:t>
      </w:r>
      <w:proofErr w:type="spellEnd"/>
      <w:r w:rsidRPr="00A24502">
        <w:rPr>
          <w:sz w:val="22"/>
          <w:szCs w:val="22"/>
        </w:rPr>
        <w:t>) allows prior inconsistent statements to be admitted as substantive evidence if the declarant testifies at trial, is subject to cross-examination, and the prior statement was made under oath subject to penalty of perjury at a trial, hearing, or “other proceeding.” In State v. Smith, 97 Wn.2d 856 (1982), the Washington Supreme Court interpreted “other proceeding” flexibly, emphasizing that reliability is the key factor for admissibility. This approach was reaffirmed in State v. Otton, 185 Wn.2d 673, 374 P.3d 1108 (2016), where the Court upheld the Smith rule and a four-factor test assessing voluntariness, oath, procedural formality, and opportunity for cross-examination.</w:t>
      </w:r>
    </w:p>
    <w:p w14:paraId="26650ABE" w14:textId="77777777" w:rsidR="00005E2D" w:rsidRPr="00A24502" w:rsidRDefault="00005E2D" w:rsidP="00005E2D">
      <w:pPr>
        <w:rPr>
          <w:sz w:val="22"/>
          <w:szCs w:val="22"/>
        </w:rPr>
      </w:pPr>
      <w:r w:rsidRPr="00A24502">
        <w:rPr>
          <w:sz w:val="22"/>
          <w:szCs w:val="22"/>
        </w:rPr>
        <w:t>ER 801(d)(1)(</w:t>
      </w:r>
      <w:proofErr w:type="spellStart"/>
      <w:r w:rsidRPr="00A24502">
        <w:rPr>
          <w:sz w:val="22"/>
          <w:szCs w:val="22"/>
        </w:rPr>
        <w:t>i</w:t>
      </w:r>
      <w:proofErr w:type="spellEnd"/>
      <w:r w:rsidRPr="00A24502">
        <w:rPr>
          <w:sz w:val="22"/>
          <w:szCs w:val="22"/>
        </w:rPr>
        <w:t xml:space="preserve">) Overview - A prior inconsistent statement is admissible as substantive evidence if: 1) The declarant testifies at trial, 2) Is subject to cross-examination; and 3) The statement was made under oath at a trial, hearing, or “other proceeding.” </w:t>
      </w:r>
    </w:p>
    <w:p w14:paraId="0D59E847" w14:textId="77777777" w:rsidR="00005E2D" w:rsidRPr="00A24502" w:rsidRDefault="00005E2D" w:rsidP="00005E2D">
      <w:pPr>
        <w:rPr>
          <w:sz w:val="22"/>
          <w:szCs w:val="22"/>
        </w:rPr>
      </w:pPr>
      <w:r w:rsidRPr="00A24502">
        <w:rPr>
          <w:sz w:val="22"/>
          <w:szCs w:val="22"/>
        </w:rPr>
        <w:t>Washington’s Four-Factor Test under State v. Smith, 97 Wn.2d 856 (1982) and State v. Otton, 185 Wn.2d 673 (2016) elaborates this analysis and provides additional guidelines for admitting statements obtained in “other proceedings.”  Courts assess whether a prior statement meets “minimal guarantees of truthfulness” by considering: 1)  Voluntariness – Whether the statement was made without coercion or pressure; 2) Oath or Affirmation – Whether the statement was made under oath or penalty of perjury; 3)  Formality – Whether the statement occurred in a structured setting akin to a proceeding; 4) Opportunity for Cross-Examination – Whether the declarant is subject to cross-examination at trial.</w:t>
      </w:r>
    </w:p>
    <w:p w14:paraId="5EEA79C3" w14:textId="77777777" w:rsidR="00005E2D" w:rsidRPr="00A24502" w:rsidRDefault="00005E2D" w:rsidP="00005E2D">
      <w:pPr>
        <w:rPr>
          <w:sz w:val="22"/>
          <w:szCs w:val="22"/>
        </w:rPr>
      </w:pPr>
      <w:r w:rsidRPr="00A24502">
        <w:rPr>
          <w:sz w:val="22"/>
          <w:szCs w:val="22"/>
        </w:rPr>
        <w:t xml:space="preserve">Several cases underscore the importance of rigorous application of these safeguards. In State v. Nieto, 119 </w:t>
      </w:r>
      <w:proofErr w:type="spellStart"/>
      <w:r w:rsidRPr="00A24502">
        <w:rPr>
          <w:sz w:val="22"/>
          <w:szCs w:val="22"/>
        </w:rPr>
        <w:t>Wn</w:t>
      </w:r>
      <w:proofErr w:type="spellEnd"/>
      <w:r w:rsidRPr="00A24502">
        <w:rPr>
          <w:sz w:val="22"/>
          <w:szCs w:val="22"/>
        </w:rPr>
        <w:t xml:space="preserve">. App. 157, 79 P.3d 473 (2003), the court reversed a conviction because the statement lacked an oath and was not made during </w:t>
      </w:r>
      <w:proofErr w:type="gramStart"/>
      <w:r w:rsidRPr="00A24502">
        <w:rPr>
          <w:sz w:val="22"/>
          <w:szCs w:val="22"/>
        </w:rPr>
        <w:t>a formalized proceeding</w:t>
      </w:r>
      <w:proofErr w:type="gramEnd"/>
      <w:r w:rsidRPr="00A24502">
        <w:rPr>
          <w:sz w:val="22"/>
          <w:szCs w:val="22"/>
        </w:rPr>
        <w:t>. The court emphasized that the declarant did not understand the perjury language, and there were no procedures indicating she was ever advised of its implications—therefore, the statement lacked the minimal guarantees of truthfulness required by Smith.</w:t>
      </w:r>
    </w:p>
    <w:p w14:paraId="644E09DA" w14:textId="77777777" w:rsidR="00005E2D" w:rsidRPr="00A24502" w:rsidRDefault="00005E2D" w:rsidP="00005E2D">
      <w:pPr>
        <w:rPr>
          <w:sz w:val="22"/>
          <w:szCs w:val="22"/>
        </w:rPr>
      </w:pPr>
      <w:r w:rsidRPr="00A24502">
        <w:rPr>
          <w:sz w:val="22"/>
          <w:szCs w:val="22"/>
        </w:rPr>
        <w:lastRenderedPageBreak/>
        <w:t xml:space="preserve">Similarly, in State v. McComas, 186 </w:t>
      </w:r>
      <w:proofErr w:type="spellStart"/>
      <w:r w:rsidRPr="00A24502">
        <w:rPr>
          <w:sz w:val="22"/>
          <w:szCs w:val="22"/>
        </w:rPr>
        <w:t>Wn</w:t>
      </w:r>
      <w:proofErr w:type="spellEnd"/>
      <w:r w:rsidRPr="00A24502">
        <w:rPr>
          <w:sz w:val="22"/>
          <w:szCs w:val="22"/>
        </w:rPr>
        <w:t>. App. 307, 345 P.3d 36 (2015), the Court of Appeals found a prior recorded statement inadmissible because it was neither signed nor dated, and the witness did not understand that it was being made under penalty of perjury. The court applied the Smith test and determined that the absence of oath and procedural safeguards rendered the statement unreliable, despite the witness’s availability at trial.</w:t>
      </w:r>
    </w:p>
    <w:p w14:paraId="20DCCC22" w14:textId="77777777" w:rsidR="00005E2D" w:rsidRPr="00A24502" w:rsidRDefault="00005E2D" w:rsidP="00005E2D">
      <w:pPr>
        <w:rPr>
          <w:sz w:val="22"/>
          <w:szCs w:val="22"/>
        </w:rPr>
      </w:pPr>
      <w:r w:rsidRPr="00A24502">
        <w:rPr>
          <w:sz w:val="22"/>
          <w:szCs w:val="22"/>
        </w:rPr>
        <w:t xml:space="preserve">Other cases illustrate the narrow circumstances in which these statements may be admissible. In State v. Goodin, 3 </w:t>
      </w:r>
      <w:proofErr w:type="spellStart"/>
      <w:r w:rsidRPr="00A24502">
        <w:rPr>
          <w:sz w:val="22"/>
          <w:szCs w:val="22"/>
        </w:rPr>
        <w:t>Wn</w:t>
      </w:r>
      <w:proofErr w:type="spellEnd"/>
      <w:r w:rsidRPr="00A24502">
        <w:rPr>
          <w:sz w:val="22"/>
          <w:szCs w:val="22"/>
        </w:rPr>
        <w:t xml:space="preserve">. App. 2d 1046 (2018), the court upheld admission where the declarant had signed the statement under clear penalty-of-perjury language and the officer had reviewed it with her. The court emphasized that even where the witness later claimed not to understand the oath, evidence of proper procedure and formality could support </w:t>
      </w:r>
      <w:proofErr w:type="gramStart"/>
      <w:r w:rsidRPr="00A24502">
        <w:rPr>
          <w:sz w:val="22"/>
          <w:szCs w:val="22"/>
        </w:rPr>
        <w:t>a finding</w:t>
      </w:r>
      <w:proofErr w:type="gramEnd"/>
      <w:r w:rsidRPr="00A24502">
        <w:rPr>
          <w:sz w:val="22"/>
          <w:szCs w:val="22"/>
        </w:rPr>
        <w:t xml:space="preserve"> of reliability.</w:t>
      </w:r>
    </w:p>
    <w:p w14:paraId="51900952" w14:textId="77777777" w:rsidR="00005E2D" w:rsidRPr="00A24502" w:rsidRDefault="00005E2D" w:rsidP="00005E2D">
      <w:pPr>
        <w:rPr>
          <w:sz w:val="22"/>
          <w:szCs w:val="22"/>
        </w:rPr>
      </w:pPr>
      <w:r w:rsidRPr="00A24502">
        <w:rPr>
          <w:sz w:val="22"/>
          <w:szCs w:val="22"/>
        </w:rPr>
        <w:t xml:space="preserve">Conversely, in State v. Nowacki, 1 </w:t>
      </w:r>
      <w:proofErr w:type="spellStart"/>
      <w:r w:rsidRPr="00A24502">
        <w:rPr>
          <w:sz w:val="22"/>
          <w:szCs w:val="22"/>
        </w:rPr>
        <w:t>Wn</w:t>
      </w:r>
      <w:proofErr w:type="spellEnd"/>
      <w:r w:rsidRPr="00A24502">
        <w:rPr>
          <w:sz w:val="22"/>
          <w:szCs w:val="22"/>
        </w:rPr>
        <w:t>. App. 2d 1065 (2018), the court reversed in part because the trial court failed to properly apply the Smith reliability factors to the admitted statement, which was not supported by formal procedure or clearly established guarantees of truthfulness.</w:t>
      </w:r>
    </w:p>
    <w:p w14:paraId="1DC267E2" w14:textId="77777777" w:rsidR="00005E2D" w:rsidRPr="00A24502" w:rsidRDefault="00005E2D" w:rsidP="00005E2D">
      <w:pPr>
        <w:rPr>
          <w:sz w:val="22"/>
          <w:szCs w:val="22"/>
          <w:u w:val="single"/>
        </w:rPr>
      </w:pPr>
      <w:r w:rsidRPr="00A24502">
        <w:rPr>
          <w:sz w:val="22"/>
          <w:szCs w:val="22"/>
        </w:rPr>
        <w:t>Collectively, these cases demonstrate that courts must rigorously scrutinize prior statements under ER 801(d)(1)(</w:t>
      </w:r>
      <w:proofErr w:type="spellStart"/>
      <w:r w:rsidRPr="00A24502">
        <w:rPr>
          <w:sz w:val="22"/>
          <w:szCs w:val="22"/>
        </w:rPr>
        <w:t>i</w:t>
      </w:r>
      <w:proofErr w:type="spellEnd"/>
      <w:r w:rsidRPr="00A24502">
        <w:rPr>
          <w:sz w:val="22"/>
          <w:szCs w:val="22"/>
        </w:rPr>
        <w:t xml:space="preserve">) and cannot assume admissibility merely because the statement was written or signed. A statement lacking proper advisement of rights, an oath, and procedural formality does not satisfy the Smith standard. Defense counsel should press for strict adherence to these requirements, especially where the statement is being used in place of live </w:t>
      </w:r>
      <w:proofErr w:type="gramStart"/>
      <w:r w:rsidRPr="00A24502">
        <w:rPr>
          <w:sz w:val="22"/>
          <w:szCs w:val="22"/>
        </w:rPr>
        <w:t>testimony, and</w:t>
      </w:r>
      <w:proofErr w:type="gramEnd"/>
      <w:r w:rsidRPr="00A24502">
        <w:rPr>
          <w:sz w:val="22"/>
          <w:szCs w:val="22"/>
        </w:rPr>
        <w:t xml:space="preserve"> should challenge the admissibility of any statement that fails to meet the high threshold of reliability demanded under Smith, Otton, McComas, and Nieto.</w:t>
      </w:r>
    </w:p>
    <w:p w14:paraId="571E443D" w14:textId="416F93F4" w:rsidR="00E27295" w:rsidRPr="00A24502" w:rsidRDefault="00E27295" w:rsidP="00005E2D">
      <w:pPr>
        <w:pStyle w:val="ListParagraph"/>
        <w:numPr>
          <w:ilvl w:val="1"/>
          <w:numId w:val="26"/>
        </w:numPr>
        <w:outlineLvl w:val="1"/>
        <w:rPr>
          <w:b/>
          <w:bCs/>
          <w:sz w:val="22"/>
          <w:szCs w:val="22"/>
        </w:rPr>
      </w:pPr>
      <w:bookmarkStart w:id="9" w:name="_Toc196247727"/>
      <w:r w:rsidRPr="00A24502">
        <w:rPr>
          <w:b/>
          <w:bCs/>
          <w:sz w:val="22"/>
          <w:szCs w:val="22"/>
        </w:rPr>
        <w:t>Challenge the legal foundation of Smith and Nelson as inconsistent with recent Supreme Court authority</w:t>
      </w:r>
      <w:bookmarkEnd w:id="9"/>
    </w:p>
    <w:p w14:paraId="32C0A423" w14:textId="1B2C87A2" w:rsidR="00E27295" w:rsidRPr="00997465" w:rsidRDefault="006F6088" w:rsidP="00A36C07">
      <w:pPr>
        <w:rPr>
          <w:sz w:val="22"/>
          <w:szCs w:val="22"/>
        </w:rPr>
      </w:pPr>
      <w:r w:rsidRPr="00A24502">
        <w:rPr>
          <w:sz w:val="22"/>
          <w:szCs w:val="22"/>
        </w:rPr>
        <w:t>Brief included e</w:t>
      </w:r>
      <w:r w:rsidR="00E27295" w:rsidRPr="00997465">
        <w:rPr>
          <w:sz w:val="22"/>
          <w:szCs w:val="22"/>
        </w:rPr>
        <w:t>xplain</w:t>
      </w:r>
      <w:r w:rsidRPr="00A24502">
        <w:rPr>
          <w:sz w:val="22"/>
          <w:szCs w:val="22"/>
        </w:rPr>
        <w:t>s</w:t>
      </w:r>
      <w:r w:rsidR="00E27295" w:rsidRPr="00997465">
        <w:rPr>
          <w:sz w:val="22"/>
          <w:szCs w:val="22"/>
        </w:rPr>
        <w:t xml:space="preserve"> that Smith v. Arizona and post-Crawford jurisprudence reject judicial assessments of reliability in favor of procedural confrontation guarantees.</w:t>
      </w:r>
      <w:r w:rsidRPr="00A24502">
        <w:rPr>
          <w:sz w:val="22"/>
          <w:szCs w:val="22"/>
        </w:rPr>
        <w:t xml:space="preserve"> </w:t>
      </w:r>
    </w:p>
    <w:p w14:paraId="3FC4F4FC" w14:textId="77777777" w:rsidR="006C7146" w:rsidRPr="006C7146" w:rsidRDefault="006C7146" w:rsidP="006C7146">
      <w:pPr>
        <w:rPr>
          <w:sz w:val="22"/>
          <w:szCs w:val="22"/>
        </w:rPr>
      </w:pPr>
      <w:r w:rsidRPr="006C7146">
        <w:rPr>
          <w:sz w:val="22"/>
          <w:szCs w:val="22"/>
        </w:rPr>
        <w:t xml:space="preserve">The Washington Supreme Court’s decision in </w:t>
      </w:r>
      <w:r w:rsidRPr="006C7146">
        <w:rPr>
          <w:i/>
          <w:iCs/>
          <w:sz w:val="22"/>
          <w:szCs w:val="22"/>
        </w:rPr>
        <w:t>State v. Smith</w:t>
      </w:r>
      <w:r w:rsidRPr="006C7146">
        <w:rPr>
          <w:sz w:val="22"/>
          <w:szCs w:val="22"/>
        </w:rPr>
        <w:t>, which permits the admission of prior inconsistent statements based on a flexible, reliability-centered analysis under ER 801(d)(1)(</w:t>
      </w:r>
      <w:proofErr w:type="spellStart"/>
      <w:r w:rsidRPr="006C7146">
        <w:rPr>
          <w:sz w:val="22"/>
          <w:szCs w:val="22"/>
        </w:rPr>
        <w:t>i</w:t>
      </w:r>
      <w:proofErr w:type="spellEnd"/>
      <w:r w:rsidRPr="006C7146">
        <w:rPr>
          <w:sz w:val="22"/>
          <w:szCs w:val="22"/>
        </w:rPr>
        <w:t xml:space="preserve">), sharply diverges from the prevailing national interpretation of analogous federal rules. In nearly every other jurisdiction, courts have rejected the notion that police interviews qualify as an “other proceeding” under rules like FRE 801(d)(1)(A). These courts have emphasized that only formal proceedings—such as grand jury hearings or depositions, where procedural safeguards and legal formalities ensure accuracy—fit within the intended scope of the rule. For example, in </w:t>
      </w:r>
      <w:r w:rsidRPr="006C7146">
        <w:rPr>
          <w:i/>
          <w:iCs/>
          <w:sz w:val="22"/>
          <w:szCs w:val="22"/>
        </w:rPr>
        <w:t>United States v. Livingston</w:t>
      </w:r>
      <w:r w:rsidRPr="006C7146">
        <w:rPr>
          <w:sz w:val="22"/>
          <w:szCs w:val="22"/>
        </w:rPr>
        <w:t>, the D.C. Circuit made clear that interviews conducted by investigating officers lack the legal structure necessary to qualify under this hearsay exclusion.</w:t>
      </w:r>
    </w:p>
    <w:p w14:paraId="01F74B95" w14:textId="77777777" w:rsidR="006C7146" w:rsidRPr="006C7146" w:rsidRDefault="006C7146" w:rsidP="006C7146">
      <w:pPr>
        <w:rPr>
          <w:sz w:val="22"/>
          <w:szCs w:val="22"/>
        </w:rPr>
      </w:pPr>
      <w:r w:rsidRPr="006C7146">
        <w:rPr>
          <w:sz w:val="22"/>
          <w:szCs w:val="22"/>
        </w:rPr>
        <w:t xml:space="preserve">Despite this broad consensus, </w:t>
      </w:r>
      <w:r w:rsidRPr="006C7146">
        <w:rPr>
          <w:i/>
          <w:iCs/>
          <w:sz w:val="22"/>
          <w:szCs w:val="22"/>
        </w:rPr>
        <w:t>Smith</w:t>
      </w:r>
      <w:r w:rsidRPr="006C7146">
        <w:rPr>
          <w:sz w:val="22"/>
          <w:szCs w:val="22"/>
        </w:rPr>
        <w:t xml:space="preserve"> created a four-factor test centered on the “reliability” of the statement, not the formality of the setting in which it was made. However, this test bears little relationship to the text or legislative history of ER 801(d)(1)(</w:t>
      </w:r>
      <w:proofErr w:type="spellStart"/>
      <w:r w:rsidRPr="006C7146">
        <w:rPr>
          <w:sz w:val="22"/>
          <w:szCs w:val="22"/>
        </w:rPr>
        <w:t>i</w:t>
      </w:r>
      <w:proofErr w:type="spellEnd"/>
      <w:r w:rsidRPr="006C7146">
        <w:rPr>
          <w:sz w:val="22"/>
          <w:szCs w:val="22"/>
        </w:rPr>
        <w:t xml:space="preserve">), which was meant to impose a </w:t>
      </w:r>
      <w:r w:rsidRPr="006C7146">
        <w:rPr>
          <w:sz w:val="22"/>
          <w:szCs w:val="22"/>
        </w:rPr>
        <w:lastRenderedPageBreak/>
        <w:t xml:space="preserve">categorical restriction on admissibility based on the procedural context of the prior statement. Notably, two of </w:t>
      </w:r>
      <w:r w:rsidRPr="006C7146">
        <w:rPr>
          <w:i/>
          <w:iCs/>
          <w:sz w:val="22"/>
          <w:szCs w:val="22"/>
        </w:rPr>
        <w:t>Smith</w:t>
      </w:r>
      <w:r w:rsidRPr="006C7146">
        <w:rPr>
          <w:sz w:val="22"/>
          <w:szCs w:val="22"/>
        </w:rPr>
        <w:t xml:space="preserve">’s four factors are especially problematic: voluntariness, which is irrelevant under the rule (as trial testimony itself is not always voluntary), and the opportunity for cross-examination at trial, which is always </w:t>
      </w:r>
      <w:proofErr w:type="gramStart"/>
      <w:r w:rsidRPr="006C7146">
        <w:rPr>
          <w:sz w:val="22"/>
          <w:szCs w:val="22"/>
        </w:rPr>
        <w:t>present by definition</w:t>
      </w:r>
      <w:proofErr w:type="gramEnd"/>
      <w:r w:rsidRPr="006C7146">
        <w:rPr>
          <w:sz w:val="22"/>
          <w:szCs w:val="22"/>
        </w:rPr>
        <w:t xml:space="preserve">. </w:t>
      </w:r>
      <w:r w:rsidRPr="006C7146">
        <w:rPr>
          <w:i/>
          <w:iCs/>
          <w:sz w:val="22"/>
          <w:szCs w:val="22"/>
        </w:rPr>
        <w:t>Smith</w:t>
      </w:r>
      <w:r w:rsidRPr="006C7146">
        <w:rPr>
          <w:sz w:val="22"/>
          <w:szCs w:val="22"/>
        </w:rPr>
        <w:t xml:space="preserve"> also mischaracterizes </w:t>
      </w:r>
      <w:r w:rsidRPr="006C7146">
        <w:rPr>
          <w:i/>
          <w:iCs/>
          <w:sz w:val="22"/>
          <w:szCs w:val="22"/>
        </w:rPr>
        <w:t>Castro-Ayon</w:t>
      </w:r>
      <w:r w:rsidRPr="006C7146">
        <w:rPr>
          <w:sz w:val="22"/>
          <w:szCs w:val="22"/>
        </w:rPr>
        <w:t xml:space="preserve">, the only federal case to admit a police-obtained statement under this rule, as broader than it is. In fact, the Ninth Circuit in </w:t>
      </w:r>
      <w:r w:rsidRPr="006C7146">
        <w:rPr>
          <w:i/>
          <w:iCs/>
          <w:sz w:val="22"/>
          <w:szCs w:val="22"/>
        </w:rPr>
        <w:t>Castro-Ayon</w:t>
      </w:r>
      <w:r w:rsidRPr="006C7146">
        <w:rPr>
          <w:sz w:val="22"/>
          <w:szCs w:val="22"/>
        </w:rPr>
        <w:t xml:space="preserve"> emphasized the formal and quasi-judicial nature of the immigration proceeding at issue, which it held bore critical similarities to a grand jury inquiry—not merely that the statement itself seemed reliable.</w:t>
      </w:r>
    </w:p>
    <w:p w14:paraId="071B330D" w14:textId="77777777" w:rsidR="006C7146" w:rsidRPr="006C7146" w:rsidRDefault="006C7146" w:rsidP="006C7146">
      <w:pPr>
        <w:rPr>
          <w:sz w:val="22"/>
          <w:szCs w:val="22"/>
        </w:rPr>
      </w:pPr>
      <w:r w:rsidRPr="006C7146">
        <w:rPr>
          <w:sz w:val="22"/>
          <w:szCs w:val="22"/>
        </w:rPr>
        <w:t xml:space="preserve">Over time, </w:t>
      </w:r>
      <w:r w:rsidRPr="006C7146">
        <w:rPr>
          <w:i/>
          <w:iCs/>
          <w:sz w:val="22"/>
          <w:szCs w:val="22"/>
        </w:rPr>
        <w:t>Smith</w:t>
      </w:r>
      <w:r w:rsidRPr="006C7146">
        <w:rPr>
          <w:sz w:val="22"/>
          <w:szCs w:val="22"/>
        </w:rPr>
        <w:t xml:space="preserve"> has become increasingly isolated. While it may once have represented a plausible, if minority, view, the overwhelming weight of subsequent federal and state case law now firmly rejects its expansive interpretation. Courts across the country have consistently concluded that statements made during standard law enforcement interviews are not covered by 801(d)(1)(A) or </w:t>
      </w:r>
      <w:proofErr w:type="gramStart"/>
      <w:r w:rsidRPr="006C7146">
        <w:rPr>
          <w:sz w:val="22"/>
          <w:szCs w:val="22"/>
        </w:rPr>
        <w:t>its</w:t>
      </w:r>
      <w:proofErr w:type="gramEnd"/>
      <w:r w:rsidRPr="006C7146">
        <w:rPr>
          <w:sz w:val="22"/>
          <w:szCs w:val="22"/>
        </w:rPr>
        <w:t xml:space="preserve"> equivalents unless made in settings that involve legal formality, sworn statements, and official records. No court outside Washington has since extended </w:t>
      </w:r>
      <w:r w:rsidRPr="006C7146">
        <w:rPr>
          <w:i/>
          <w:iCs/>
          <w:sz w:val="22"/>
          <w:szCs w:val="22"/>
        </w:rPr>
        <w:t>Castro-Ayon</w:t>
      </w:r>
      <w:r w:rsidRPr="006C7146">
        <w:rPr>
          <w:sz w:val="22"/>
          <w:szCs w:val="22"/>
        </w:rPr>
        <w:t xml:space="preserve"> to treat typical police interviews as an “other proceeding.” As such, </w:t>
      </w:r>
      <w:r w:rsidRPr="006C7146">
        <w:rPr>
          <w:i/>
          <w:iCs/>
          <w:sz w:val="22"/>
          <w:szCs w:val="22"/>
        </w:rPr>
        <w:t>Smith</w:t>
      </w:r>
      <w:r w:rsidRPr="006C7146">
        <w:rPr>
          <w:sz w:val="22"/>
          <w:szCs w:val="22"/>
        </w:rPr>
        <w:t xml:space="preserve"> stands not only as an outlier but as a doctrinal anomaly that invites the very sort of case-by-case admissibility disputes the federal rule was designed to avoid.</w:t>
      </w:r>
    </w:p>
    <w:p w14:paraId="5548B314" w14:textId="77777777" w:rsidR="006C7146" w:rsidRPr="00A24502" w:rsidRDefault="006C7146" w:rsidP="00A36C07">
      <w:pPr>
        <w:rPr>
          <w:sz w:val="22"/>
          <w:szCs w:val="22"/>
        </w:rPr>
      </w:pPr>
    </w:p>
    <w:p w14:paraId="10032699" w14:textId="35B356CC" w:rsidR="00744121" w:rsidRPr="00A24502" w:rsidRDefault="00744121" w:rsidP="00005E2D">
      <w:pPr>
        <w:pStyle w:val="ListParagraph"/>
        <w:numPr>
          <w:ilvl w:val="1"/>
          <w:numId w:val="26"/>
        </w:numPr>
        <w:outlineLvl w:val="1"/>
        <w:rPr>
          <w:b/>
          <w:bCs/>
          <w:sz w:val="22"/>
          <w:szCs w:val="22"/>
        </w:rPr>
      </w:pPr>
      <w:bookmarkStart w:id="10" w:name="_Toc196247728"/>
      <w:r w:rsidRPr="00A24502">
        <w:rPr>
          <w:b/>
          <w:bCs/>
          <w:sz w:val="22"/>
          <w:szCs w:val="22"/>
        </w:rPr>
        <w:t>Argue that applying a "minimal guarantees of truthfulness" standard</w:t>
      </w:r>
      <w:r w:rsidR="00F36DA5" w:rsidRPr="00A24502">
        <w:rPr>
          <w:b/>
          <w:bCs/>
          <w:sz w:val="22"/>
          <w:szCs w:val="22"/>
        </w:rPr>
        <w:t xml:space="preserve"> in </w:t>
      </w:r>
      <w:proofErr w:type="gramStart"/>
      <w:r w:rsidR="00F36DA5" w:rsidRPr="00A24502">
        <w:rPr>
          <w:b/>
          <w:bCs/>
          <w:i/>
          <w:iCs/>
          <w:sz w:val="22"/>
          <w:szCs w:val="22"/>
        </w:rPr>
        <w:t xml:space="preserve">Smith </w:t>
      </w:r>
      <w:r w:rsidRPr="00A24502">
        <w:rPr>
          <w:b/>
          <w:bCs/>
          <w:sz w:val="22"/>
          <w:szCs w:val="22"/>
        </w:rPr>
        <w:t xml:space="preserve"> allows</w:t>
      </w:r>
      <w:proofErr w:type="gramEnd"/>
      <w:r w:rsidRPr="00A24502">
        <w:rPr>
          <w:b/>
          <w:bCs/>
          <w:sz w:val="22"/>
          <w:szCs w:val="22"/>
        </w:rPr>
        <w:t xml:space="preserve"> the judge to improperly evaluate credibility</w:t>
      </w:r>
      <w:bookmarkEnd w:id="10"/>
    </w:p>
    <w:p w14:paraId="55A56567" w14:textId="77777777" w:rsidR="00F36DA5" w:rsidRPr="00A24502" w:rsidRDefault="00F36DA5" w:rsidP="00F36DA5">
      <w:pPr>
        <w:rPr>
          <w:sz w:val="22"/>
          <w:szCs w:val="22"/>
        </w:rPr>
      </w:pPr>
      <w:r w:rsidRPr="00A24502">
        <w:rPr>
          <w:sz w:val="22"/>
          <w:szCs w:val="22"/>
        </w:rPr>
        <w:t>When courts admit extrajudicial statements under ER 801(d)(1)(</w:t>
      </w:r>
      <w:proofErr w:type="spellStart"/>
      <w:r w:rsidRPr="00A24502">
        <w:rPr>
          <w:sz w:val="22"/>
          <w:szCs w:val="22"/>
        </w:rPr>
        <w:t>i</w:t>
      </w:r>
      <w:proofErr w:type="spellEnd"/>
      <w:r w:rsidRPr="00A24502">
        <w:rPr>
          <w:sz w:val="22"/>
          <w:szCs w:val="22"/>
        </w:rPr>
        <w:t xml:space="preserve">) by applying </w:t>
      </w:r>
      <w:proofErr w:type="gramStart"/>
      <w:r w:rsidRPr="00A24502">
        <w:rPr>
          <w:sz w:val="22"/>
          <w:szCs w:val="22"/>
        </w:rPr>
        <w:t>a "</w:t>
      </w:r>
      <w:proofErr w:type="gramEnd"/>
      <w:r w:rsidRPr="00A24502">
        <w:rPr>
          <w:sz w:val="22"/>
          <w:szCs w:val="22"/>
        </w:rPr>
        <w:t xml:space="preserve">minimal guarantees of truthfulness" </w:t>
      </w:r>
      <w:proofErr w:type="gramStart"/>
      <w:r w:rsidRPr="00A24502">
        <w:rPr>
          <w:sz w:val="22"/>
          <w:szCs w:val="22"/>
        </w:rPr>
        <w:t>standard—as</w:t>
      </w:r>
      <w:proofErr w:type="gramEnd"/>
      <w:r w:rsidRPr="00A24502">
        <w:rPr>
          <w:sz w:val="22"/>
          <w:szCs w:val="22"/>
        </w:rPr>
        <w:t xml:space="preserve"> established in State v. Smith, 97 Wn.2d 856, 651 P.2d 207 (1982)—they risk improperly assuming the role of the jury by making credibility determinations. ER 801(d)(1)(</w:t>
      </w:r>
      <w:proofErr w:type="spellStart"/>
      <w:r w:rsidRPr="00A24502">
        <w:rPr>
          <w:sz w:val="22"/>
          <w:szCs w:val="22"/>
        </w:rPr>
        <w:t>i</w:t>
      </w:r>
      <w:proofErr w:type="spellEnd"/>
      <w:r w:rsidRPr="00A24502">
        <w:rPr>
          <w:sz w:val="22"/>
          <w:szCs w:val="22"/>
        </w:rPr>
        <w:t>) was designed to admit certain prior inconsistent statements only when they satisfy clear procedural criteria: that they were made under oath, during a formal proceeding, and subject to penalty of perjury. These requirements are objective and are intended to ensure that a jury, not a judge, remains the final arbiter of truth.</w:t>
      </w:r>
    </w:p>
    <w:p w14:paraId="5E07D77B" w14:textId="77777777" w:rsidR="00F36DA5" w:rsidRPr="00A24502" w:rsidRDefault="00F36DA5" w:rsidP="00F36DA5">
      <w:pPr>
        <w:rPr>
          <w:sz w:val="22"/>
          <w:szCs w:val="22"/>
        </w:rPr>
      </w:pPr>
      <w:r w:rsidRPr="00A24502">
        <w:rPr>
          <w:sz w:val="22"/>
          <w:szCs w:val="22"/>
        </w:rPr>
        <w:t xml:space="preserve">By adopting a subjective and case-specific "reliability" test—asking whether a statement bears "minimal guarantees of truthfulness"—Smith invites trial courts to weigh competing narratives and make preliminary credibility findings. This amounts to an impermissible invasion of the jury’s constitutional role. As emphasized in </w:t>
      </w:r>
      <w:proofErr w:type="gramStart"/>
      <w:r w:rsidRPr="00A24502">
        <w:rPr>
          <w:sz w:val="22"/>
          <w:szCs w:val="22"/>
        </w:rPr>
        <w:t>In</w:t>
      </w:r>
      <w:proofErr w:type="gramEnd"/>
      <w:r w:rsidRPr="00A24502">
        <w:rPr>
          <w:sz w:val="22"/>
          <w:szCs w:val="22"/>
        </w:rPr>
        <w:t xml:space="preserve"> </w:t>
      </w:r>
      <w:proofErr w:type="gramStart"/>
      <w:r w:rsidRPr="00A24502">
        <w:rPr>
          <w:sz w:val="22"/>
          <w:szCs w:val="22"/>
        </w:rPr>
        <w:t>re</w:t>
      </w:r>
      <w:proofErr w:type="gramEnd"/>
      <w:r w:rsidRPr="00A24502">
        <w:rPr>
          <w:sz w:val="22"/>
          <w:szCs w:val="22"/>
        </w:rPr>
        <w:t xml:space="preserve"> Guardianship of Stamm v. Crowley, 121 </w:t>
      </w:r>
      <w:proofErr w:type="spellStart"/>
      <w:r w:rsidRPr="00A24502">
        <w:rPr>
          <w:sz w:val="22"/>
          <w:szCs w:val="22"/>
        </w:rPr>
        <w:t>Wn</w:t>
      </w:r>
      <w:proofErr w:type="spellEnd"/>
      <w:r w:rsidRPr="00A24502">
        <w:rPr>
          <w:sz w:val="22"/>
          <w:szCs w:val="22"/>
        </w:rPr>
        <w:t>. App. 830, 91 P.3d 126 (2004), credibility assessments must remain the exclusive province of the jury. In Stamm, the Court of Appeals reversed a guardianship order because the guardian ad litem improperly suggested she had special insight into witness credibility, thus undermining the jury’s role in evaluating testimony (91 P.3d at 131–32).</w:t>
      </w:r>
    </w:p>
    <w:p w14:paraId="2449D83D" w14:textId="77777777" w:rsidR="00F36DA5" w:rsidRPr="00A24502" w:rsidRDefault="00F36DA5" w:rsidP="00F36DA5">
      <w:pPr>
        <w:rPr>
          <w:sz w:val="22"/>
          <w:szCs w:val="22"/>
        </w:rPr>
      </w:pPr>
      <w:r w:rsidRPr="00A24502">
        <w:rPr>
          <w:sz w:val="22"/>
          <w:szCs w:val="22"/>
        </w:rPr>
        <w:t xml:space="preserve">Likewise, in State v. Nieto, 119 </w:t>
      </w:r>
      <w:proofErr w:type="spellStart"/>
      <w:r w:rsidRPr="00A24502">
        <w:rPr>
          <w:sz w:val="22"/>
          <w:szCs w:val="22"/>
        </w:rPr>
        <w:t>Wn</w:t>
      </w:r>
      <w:proofErr w:type="spellEnd"/>
      <w:r w:rsidRPr="00A24502">
        <w:rPr>
          <w:sz w:val="22"/>
          <w:szCs w:val="22"/>
        </w:rPr>
        <w:t xml:space="preserve">. App. 157, 79 P.3d 473 (2003), the court reversed a conviction after finding that the trial court had improperly admitted a prior inconsistent statement without </w:t>
      </w:r>
      <w:r w:rsidRPr="00A24502">
        <w:rPr>
          <w:sz w:val="22"/>
          <w:szCs w:val="22"/>
        </w:rPr>
        <w:lastRenderedPageBreak/>
        <w:t>sufficient procedural safeguards and effectively made a credibility judgment on the witness’s prior statement. The appellate court held that without evidence of voluntariness or understanding of the statement’s legal significance, the court's admission of the statement amounted to judicial overreach (79 P.3d at 477–78).</w:t>
      </w:r>
    </w:p>
    <w:p w14:paraId="32B27957" w14:textId="5B5CA748" w:rsidR="00744121" w:rsidRPr="00A24502" w:rsidRDefault="00F36DA5" w:rsidP="00F36DA5">
      <w:pPr>
        <w:rPr>
          <w:sz w:val="22"/>
          <w:szCs w:val="22"/>
          <w:u w:val="single"/>
        </w:rPr>
      </w:pPr>
      <w:r w:rsidRPr="00A24502">
        <w:rPr>
          <w:sz w:val="22"/>
          <w:szCs w:val="22"/>
        </w:rPr>
        <w:t>These cases make clear that any judicial evaluation of a statement’s "truthfulness" intrudes on the jury’s fact-finding responsibilities and is inconsistent with Washington law. To avoid this, courts should apply a strict procedural standard under ER 801(d)(1)(</w:t>
      </w:r>
      <w:proofErr w:type="spellStart"/>
      <w:r w:rsidRPr="00A24502">
        <w:rPr>
          <w:sz w:val="22"/>
          <w:szCs w:val="22"/>
        </w:rPr>
        <w:t>i</w:t>
      </w:r>
      <w:proofErr w:type="spellEnd"/>
      <w:r w:rsidRPr="00A24502">
        <w:rPr>
          <w:sz w:val="22"/>
          <w:szCs w:val="22"/>
        </w:rPr>
        <w:t>), one that limits admissibility to statements that meet formal requirements and avoids discretionary assessments of credibility. Particularly in cases involving recantation or inconsistent accounts, only the jury can fairly resolve which version to believe. Judicial endorsement of one version, even implicitly through admissibility rulings, distorts the fairness of the trial process and risks reversible error.</w:t>
      </w:r>
    </w:p>
    <w:p w14:paraId="0B8E09A8" w14:textId="77777777" w:rsidR="00744121" w:rsidRPr="00A24502" w:rsidRDefault="00744121" w:rsidP="00F36DA5">
      <w:pPr>
        <w:rPr>
          <w:sz w:val="22"/>
          <w:szCs w:val="22"/>
          <w:u w:val="single"/>
        </w:rPr>
      </w:pPr>
    </w:p>
    <w:p w14:paraId="1838C4B4" w14:textId="27255D5E" w:rsidR="00744121" w:rsidRPr="00A24502" w:rsidRDefault="00744121" w:rsidP="00005E2D">
      <w:pPr>
        <w:pStyle w:val="ListParagraph"/>
        <w:numPr>
          <w:ilvl w:val="1"/>
          <w:numId w:val="26"/>
        </w:numPr>
        <w:outlineLvl w:val="1"/>
        <w:rPr>
          <w:b/>
          <w:bCs/>
          <w:sz w:val="22"/>
          <w:szCs w:val="22"/>
        </w:rPr>
      </w:pPr>
      <w:bookmarkStart w:id="11" w:name="_Toc196247729"/>
      <w:r w:rsidRPr="00A24502">
        <w:rPr>
          <w:b/>
          <w:bCs/>
          <w:sz w:val="22"/>
          <w:szCs w:val="22"/>
        </w:rPr>
        <w:t>Explain that Crawford and its progeny reject judicial determinations of reliability for testimonial statements</w:t>
      </w:r>
      <w:bookmarkEnd w:id="11"/>
    </w:p>
    <w:p w14:paraId="20A05CB2" w14:textId="77777777" w:rsidR="00F36DA5" w:rsidRPr="00A24502" w:rsidRDefault="00F36DA5" w:rsidP="00F36DA5">
      <w:pPr>
        <w:rPr>
          <w:sz w:val="22"/>
          <w:szCs w:val="22"/>
        </w:rPr>
      </w:pPr>
      <w:r w:rsidRPr="00F36DA5">
        <w:rPr>
          <w:sz w:val="22"/>
          <w:szCs w:val="22"/>
        </w:rPr>
        <w:t xml:space="preserve">When evaluating the admissibility of extrajudicial statements, it’s essential to recognize that evidentiary rules like ER 801 or ER 803 govern the threshold question of whether a statement qualifies under a hearsay exception or exemption. However, once a statement is deemed admissible under the rules of evidence, that is not the end of the analysis. A separate and overriding constitutional inquiry must follow under </w:t>
      </w:r>
      <w:r w:rsidRPr="00F36DA5">
        <w:rPr>
          <w:i/>
          <w:iCs/>
          <w:sz w:val="22"/>
          <w:szCs w:val="22"/>
        </w:rPr>
        <w:t>Crawford v. Washington</w:t>
      </w:r>
      <w:r w:rsidRPr="00F36DA5">
        <w:rPr>
          <w:sz w:val="22"/>
          <w:szCs w:val="22"/>
        </w:rPr>
        <w:t xml:space="preserve">, 541 U.S. 36 (2004), and </w:t>
      </w:r>
      <w:r w:rsidRPr="00F36DA5">
        <w:rPr>
          <w:i/>
          <w:iCs/>
          <w:sz w:val="22"/>
          <w:szCs w:val="22"/>
        </w:rPr>
        <w:t>Davis v. Washington</w:t>
      </w:r>
      <w:r w:rsidRPr="00F36DA5">
        <w:rPr>
          <w:sz w:val="22"/>
          <w:szCs w:val="22"/>
        </w:rPr>
        <w:t>, 547 U.S. 813 (2006).</w:t>
      </w:r>
      <w:r w:rsidRPr="00A24502">
        <w:rPr>
          <w:sz w:val="22"/>
          <w:szCs w:val="22"/>
        </w:rPr>
        <w:t xml:space="preserve"> </w:t>
      </w:r>
    </w:p>
    <w:p w14:paraId="0641B82E" w14:textId="055ECB0D" w:rsidR="00F36DA5" w:rsidRPr="00997465" w:rsidRDefault="00F36DA5" w:rsidP="00F36DA5">
      <w:pPr>
        <w:rPr>
          <w:sz w:val="22"/>
          <w:szCs w:val="22"/>
        </w:rPr>
      </w:pPr>
      <w:r w:rsidRPr="00A24502">
        <w:rPr>
          <w:sz w:val="22"/>
          <w:szCs w:val="22"/>
        </w:rPr>
        <w:t>In Crawford v. Washington, 541 U.S. 36 (2004), the U.S. Supreme Court criticized judicial determinations of the "reliability" of out-of-court statements as inherently subjective and inconsistent, citing examples where courts reached opposite conclusions based on similar facts. This concern mirrors the critique in Delgado-Santos, 471 So.2d at 79, which emphasized that the legislature provided specific, objective criteria for admissibility under ER 801(d)(1)(</w:t>
      </w:r>
      <w:proofErr w:type="spellStart"/>
      <w:r w:rsidRPr="00A24502">
        <w:rPr>
          <w:sz w:val="22"/>
          <w:szCs w:val="22"/>
        </w:rPr>
        <w:t>i</w:t>
      </w:r>
      <w:proofErr w:type="spellEnd"/>
      <w:r w:rsidRPr="00A24502">
        <w:rPr>
          <w:sz w:val="22"/>
          <w:szCs w:val="22"/>
        </w:rPr>
        <w:t>). By contrast, Smith's ruling that "reliability is key" improperly deviates from these criteria and is inconsistent with Crawford and the plain language of the rule.</w:t>
      </w:r>
    </w:p>
    <w:p w14:paraId="0B18776A" w14:textId="77777777" w:rsidR="00F36DA5" w:rsidRPr="00F36DA5" w:rsidRDefault="00F36DA5" w:rsidP="00F36DA5">
      <w:pPr>
        <w:rPr>
          <w:sz w:val="22"/>
          <w:szCs w:val="22"/>
        </w:rPr>
      </w:pPr>
      <w:r w:rsidRPr="00F36DA5">
        <w:rPr>
          <w:sz w:val="22"/>
          <w:szCs w:val="22"/>
        </w:rPr>
        <w:t xml:space="preserve">This constitutional analysis focuses on whether the statement is </w:t>
      </w:r>
      <w:r w:rsidRPr="00F36DA5">
        <w:rPr>
          <w:i/>
          <w:iCs/>
          <w:sz w:val="22"/>
          <w:szCs w:val="22"/>
        </w:rPr>
        <w:t>testimonial</w:t>
      </w:r>
      <w:r w:rsidRPr="00F36DA5">
        <w:rPr>
          <w:sz w:val="22"/>
          <w:szCs w:val="22"/>
        </w:rPr>
        <w:t xml:space="preserve"> in nature. If it is, the Sixth Amendment guarantees the defendant a right to confront the declarant, meaning the statement is inadmissible unless the declarant is </w:t>
      </w:r>
      <w:proofErr w:type="gramStart"/>
      <w:r w:rsidRPr="00F36DA5">
        <w:rPr>
          <w:sz w:val="22"/>
          <w:szCs w:val="22"/>
        </w:rPr>
        <w:t>unavailable</w:t>
      </w:r>
      <w:proofErr w:type="gramEnd"/>
      <w:r w:rsidRPr="00F36DA5">
        <w:rPr>
          <w:sz w:val="22"/>
          <w:szCs w:val="22"/>
        </w:rPr>
        <w:t xml:space="preserve"> and the defendant had a prior opportunity to cross-examine them. In other words, even if a court rule allows the statement, it may still be excluded under the Confrontation Clause. </w:t>
      </w:r>
      <w:r w:rsidRPr="00F36DA5">
        <w:rPr>
          <w:i/>
          <w:iCs/>
          <w:sz w:val="22"/>
          <w:szCs w:val="22"/>
        </w:rPr>
        <w:t>Crawford</w:t>
      </w:r>
      <w:r w:rsidRPr="00F36DA5">
        <w:rPr>
          <w:sz w:val="22"/>
          <w:szCs w:val="22"/>
        </w:rPr>
        <w:t xml:space="preserve"> and its progeny make clear that constitutional protections cannot be overridden by evidentiary convenience.</w:t>
      </w:r>
    </w:p>
    <w:p w14:paraId="09EBE235" w14:textId="0FB7094A" w:rsidR="00744121" w:rsidRPr="00A24502" w:rsidRDefault="00744121" w:rsidP="00A36C07">
      <w:pPr>
        <w:rPr>
          <w:sz w:val="22"/>
          <w:szCs w:val="22"/>
        </w:rPr>
      </w:pPr>
      <w:r w:rsidRPr="00997465">
        <w:rPr>
          <w:sz w:val="22"/>
          <w:szCs w:val="22"/>
        </w:rPr>
        <w:t>Crawford replaced the Ohio v. Roberts reliability framework with a bright-line rule: testimonial hearsay is inadmissible without cross-examination.</w:t>
      </w:r>
      <w:r w:rsidR="00811AB5" w:rsidRPr="00A24502">
        <w:rPr>
          <w:sz w:val="22"/>
          <w:szCs w:val="22"/>
        </w:rPr>
        <w:t xml:space="preserve">  </w:t>
      </w:r>
      <w:r w:rsidRPr="00997465">
        <w:rPr>
          <w:sz w:val="22"/>
          <w:szCs w:val="22"/>
        </w:rPr>
        <w:t xml:space="preserve">Note that </w:t>
      </w:r>
      <w:r w:rsidRPr="00997465">
        <w:rPr>
          <w:i/>
          <w:iCs/>
          <w:sz w:val="22"/>
          <w:szCs w:val="22"/>
        </w:rPr>
        <w:t>Smith v. Arizona</w:t>
      </w:r>
      <w:r w:rsidRPr="00997465">
        <w:rPr>
          <w:sz w:val="22"/>
          <w:szCs w:val="22"/>
        </w:rPr>
        <w:t xml:space="preserve"> reinforces that confrontation, not judicial trustworthiness assessments, governs admissibility.</w:t>
      </w:r>
    </w:p>
    <w:p w14:paraId="17645EB9" w14:textId="77777777" w:rsidR="00744121" w:rsidRPr="00A24502" w:rsidRDefault="00744121" w:rsidP="00A36C07">
      <w:pPr>
        <w:rPr>
          <w:sz w:val="22"/>
          <w:szCs w:val="22"/>
          <w:u w:val="single"/>
        </w:rPr>
      </w:pPr>
    </w:p>
    <w:p w14:paraId="2EE82DC4" w14:textId="784557CF" w:rsidR="00744121" w:rsidRPr="00A24502" w:rsidRDefault="00744121" w:rsidP="00005E2D">
      <w:pPr>
        <w:pStyle w:val="ListParagraph"/>
        <w:numPr>
          <w:ilvl w:val="1"/>
          <w:numId w:val="26"/>
        </w:numPr>
        <w:outlineLvl w:val="1"/>
        <w:rPr>
          <w:b/>
          <w:bCs/>
          <w:sz w:val="22"/>
          <w:szCs w:val="22"/>
        </w:rPr>
      </w:pPr>
      <w:bookmarkStart w:id="12" w:name="_Toc196247730"/>
      <w:r w:rsidRPr="00A24502">
        <w:rPr>
          <w:b/>
          <w:bCs/>
          <w:sz w:val="22"/>
          <w:szCs w:val="22"/>
        </w:rPr>
        <w:t xml:space="preserve">Assert that admitting the statement would violate Crawford because the witness is </w:t>
      </w:r>
      <w:proofErr w:type="gramStart"/>
      <w:r w:rsidRPr="00A24502">
        <w:rPr>
          <w:b/>
          <w:bCs/>
          <w:sz w:val="22"/>
          <w:szCs w:val="22"/>
        </w:rPr>
        <w:t>unavailable</w:t>
      </w:r>
      <w:proofErr w:type="gramEnd"/>
      <w:r w:rsidRPr="00A24502">
        <w:rPr>
          <w:b/>
          <w:bCs/>
          <w:sz w:val="22"/>
          <w:szCs w:val="22"/>
        </w:rPr>
        <w:t xml:space="preserve"> and the statement is testimonial</w:t>
      </w:r>
      <w:bookmarkEnd w:id="12"/>
    </w:p>
    <w:p w14:paraId="51090EBF" w14:textId="15F79A13" w:rsidR="00926FF1" w:rsidRPr="00926FF1" w:rsidRDefault="00926FF1" w:rsidP="00926FF1">
      <w:pPr>
        <w:rPr>
          <w:sz w:val="22"/>
          <w:szCs w:val="22"/>
        </w:rPr>
      </w:pPr>
      <w:r w:rsidRPr="00926FF1">
        <w:rPr>
          <w:sz w:val="22"/>
          <w:szCs w:val="22"/>
        </w:rPr>
        <w:t xml:space="preserve">The Confrontation Clause of the Sixth Amendment guarantees an accused the right to confront witnesses against him. This clause applies to out-of-court statements that are testimonial, meaning statements made with the primary purpose of creating an out-of-court substitute for trial testimony. State v. </w:t>
      </w:r>
      <w:proofErr w:type="spellStart"/>
      <w:r w:rsidRPr="00926FF1">
        <w:rPr>
          <w:sz w:val="22"/>
          <w:szCs w:val="22"/>
        </w:rPr>
        <w:t>Ta'Afulisia</w:t>
      </w:r>
      <w:proofErr w:type="spellEnd"/>
      <w:r w:rsidRPr="00926FF1">
        <w:rPr>
          <w:sz w:val="22"/>
          <w:szCs w:val="22"/>
        </w:rPr>
        <w:t>, 508 P.3d 1059 (Wash. App. 2022), 508 P.3d at 1063-1065. The primary purpose test evaluates the circumstances of the statement to determine if it is testimonial. </w:t>
      </w:r>
      <w:r w:rsidRPr="00926FF1">
        <w:rPr>
          <w:i/>
          <w:iCs/>
          <w:sz w:val="22"/>
          <w:szCs w:val="22"/>
        </w:rPr>
        <w:t>Id</w:t>
      </w:r>
      <w:r w:rsidRPr="00926FF1">
        <w:rPr>
          <w:sz w:val="22"/>
          <w:szCs w:val="22"/>
        </w:rPr>
        <w:t>. Statements made unwittingly to a government informant are considered nontestimonial. </w:t>
      </w:r>
      <w:r w:rsidRPr="00926FF1">
        <w:rPr>
          <w:i/>
          <w:iCs/>
          <w:sz w:val="22"/>
          <w:szCs w:val="22"/>
        </w:rPr>
        <w:t>Id</w:t>
      </w:r>
      <w:r w:rsidRPr="00926FF1">
        <w:rPr>
          <w:sz w:val="22"/>
          <w:szCs w:val="22"/>
        </w:rPr>
        <w:t>.</w:t>
      </w:r>
    </w:p>
    <w:p w14:paraId="63878795" w14:textId="32580D41" w:rsidR="00926FF1" w:rsidRPr="00926FF1" w:rsidRDefault="00926FF1" w:rsidP="00926FF1">
      <w:pPr>
        <w:rPr>
          <w:sz w:val="22"/>
          <w:szCs w:val="22"/>
        </w:rPr>
      </w:pPr>
      <w:r w:rsidRPr="00926FF1">
        <w:rPr>
          <w:sz w:val="22"/>
          <w:szCs w:val="22"/>
        </w:rPr>
        <w:t xml:space="preserve">In State v. </w:t>
      </w:r>
      <w:proofErr w:type="spellStart"/>
      <w:r w:rsidRPr="00926FF1">
        <w:rPr>
          <w:sz w:val="22"/>
          <w:szCs w:val="22"/>
        </w:rPr>
        <w:t>Ta'Afulisia</w:t>
      </w:r>
      <w:proofErr w:type="spellEnd"/>
      <w:r w:rsidRPr="00926FF1">
        <w:rPr>
          <w:sz w:val="22"/>
          <w:szCs w:val="22"/>
        </w:rPr>
        <w:t>, the court held that recorded statements made by the defendant's brothers to a trusted family member in an informal setting, outdoors, and without knowledge of being recorded for law enforcement, were nontestimonial and did not violate the Confrontation Clause. 508 P.3d at 1068-1070.</w:t>
      </w:r>
    </w:p>
    <w:p w14:paraId="616942EF" w14:textId="31CBEA96" w:rsidR="00926FF1" w:rsidRPr="00926FF1" w:rsidRDefault="00926FF1" w:rsidP="00926FF1">
      <w:pPr>
        <w:rPr>
          <w:sz w:val="22"/>
          <w:szCs w:val="22"/>
        </w:rPr>
      </w:pPr>
      <w:r w:rsidRPr="00926FF1">
        <w:rPr>
          <w:sz w:val="22"/>
          <w:szCs w:val="22"/>
        </w:rPr>
        <w:t xml:space="preserve">Similarly, in State v. Wilcoxon, 185 Wash.2d 324 373 P.3d 224 (Wash. 2016), the Washington Supreme Court held that a codefendant's casual remarks to a friend, not intended for prosecutorial use, were nontestimonial and did not violate the defendant's confrontation rights. State v. Wilcoxon, 373 P.3d at 224 </w:t>
      </w:r>
      <w:proofErr w:type="gramStart"/>
      <w:r w:rsidRPr="00926FF1">
        <w:rPr>
          <w:sz w:val="22"/>
          <w:szCs w:val="22"/>
        </w:rPr>
        <w:t>(citing </w:t>
      </w:r>
      <w:proofErr w:type="gramEnd"/>
      <w:r w:rsidRPr="00926FF1">
        <w:rPr>
          <w:i/>
          <w:iCs/>
          <w:sz w:val="22"/>
          <w:szCs w:val="22"/>
        </w:rPr>
        <w:t>Crawford v. Washington</w:t>
      </w:r>
      <w:r w:rsidRPr="00926FF1">
        <w:rPr>
          <w:sz w:val="22"/>
          <w:szCs w:val="22"/>
        </w:rPr>
        <w:t> and </w:t>
      </w:r>
      <w:r w:rsidRPr="00926FF1">
        <w:rPr>
          <w:i/>
          <w:iCs/>
          <w:sz w:val="22"/>
          <w:szCs w:val="22"/>
        </w:rPr>
        <w:t>Davis v. Washington</w:t>
      </w:r>
      <w:r w:rsidRPr="00926FF1">
        <w:rPr>
          <w:sz w:val="22"/>
          <w:szCs w:val="22"/>
        </w:rPr>
        <w:t>). The court emphasized that the statements were not the functional equivalent of in-court testimony and were not designed to establish or prove past facts. </w:t>
      </w:r>
      <w:r w:rsidRPr="00926FF1">
        <w:rPr>
          <w:i/>
          <w:iCs/>
          <w:sz w:val="22"/>
          <w:szCs w:val="22"/>
        </w:rPr>
        <w:t>Id</w:t>
      </w:r>
      <w:r w:rsidRPr="00926FF1">
        <w:rPr>
          <w:sz w:val="22"/>
          <w:szCs w:val="22"/>
        </w:rPr>
        <w:t>. at 334-335.</w:t>
      </w:r>
    </w:p>
    <w:p w14:paraId="1E39A291" w14:textId="6DFF26AC" w:rsidR="00926FF1" w:rsidRPr="00926FF1" w:rsidRDefault="00926FF1" w:rsidP="00926FF1">
      <w:pPr>
        <w:rPr>
          <w:sz w:val="22"/>
          <w:szCs w:val="22"/>
        </w:rPr>
      </w:pPr>
      <w:r w:rsidRPr="00926FF1">
        <w:rPr>
          <w:sz w:val="22"/>
          <w:szCs w:val="22"/>
        </w:rPr>
        <w:t>In State v. Lui, 179 Wash.2d 457 315 P.3d 493 (Wash. 2014), the Washington Supreme Court addressed the application of the Confrontation Clause to forensic evidence. 315 P.3d at 498. The court held that the admission of DNA evidence through an expert witness who interpreted the data, but did not perform the tests, did not violate the Confrontation Clause because the expert was available for cross-examination. </w:t>
      </w:r>
      <w:r w:rsidRPr="00926FF1">
        <w:rPr>
          <w:i/>
          <w:iCs/>
          <w:sz w:val="22"/>
          <w:szCs w:val="22"/>
        </w:rPr>
        <w:t>Id</w:t>
      </w:r>
      <w:r w:rsidRPr="00926FF1">
        <w:rPr>
          <w:sz w:val="22"/>
          <w:szCs w:val="22"/>
        </w:rPr>
        <w:t>. at 504-511. However, the admission of a toxicology report and autopsy report without the testimony of the analysts who prepared them violated the Confrontation Clause, although the error was deemed harmless due to other overwhelming evidence. </w:t>
      </w:r>
      <w:r w:rsidRPr="00926FF1">
        <w:rPr>
          <w:i/>
          <w:iCs/>
          <w:sz w:val="22"/>
          <w:szCs w:val="22"/>
        </w:rPr>
        <w:t>Id</w:t>
      </w:r>
      <w:r w:rsidRPr="00926FF1">
        <w:rPr>
          <w:sz w:val="22"/>
          <w:szCs w:val="22"/>
        </w:rPr>
        <w:t>.</w:t>
      </w:r>
    </w:p>
    <w:p w14:paraId="0BBE9E89" w14:textId="2380781B" w:rsidR="00926FF1" w:rsidRPr="00926FF1" w:rsidRDefault="00926FF1" w:rsidP="00926FF1">
      <w:pPr>
        <w:rPr>
          <w:sz w:val="22"/>
          <w:szCs w:val="22"/>
        </w:rPr>
      </w:pPr>
      <w:r w:rsidRPr="00926FF1">
        <w:rPr>
          <w:i/>
          <w:iCs/>
          <w:sz w:val="22"/>
          <w:szCs w:val="22"/>
        </w:rPr>
        <w:t xml:space="preserve">State v. </w:t>
      </w:r>
      <w:proofErr w:type="spellStart"/>
      <w:r w:rsidRPr="00926FF1">
        <w:rPr>
          <w:i/>
          <w:iCs/>
          <w:sz w:val="22"/>
          <w:szCs w:val="22"/>
        </w:rPr>
        <w:t>Ta’Afulisia</w:t>
      </w:r>
      <w:proofErr w:type="spellEnd"/>
      <w:r w:rsidRPr="00926FF1">
        <w:rPr>
          <w:sz w:val="22"/>
          <w:szCs w:val="22"/>
        </w:rPr>
        <w:t>, 508 P.3d 1059 (Wash. App. 2022)</w:t>
      </w:r>
      <w:r w:rsidRPr="00A24502">
        <w:rPr>
          <w:sz w:val="22"/>
          <w:szCs w:val="22"/>
        </w:rPr>
        <w:t xml:space="preserve">.  </w:t>
      </w:r>
      <w:r w:rsidRPr="00926FF1">
        <w:rPr>
          <w:sz w:val="22"/>
          <w:szCs w:val="22"/>
        </w:rPr>
        <w:t xml:space="preserve">Jerome </w:t>
      </w:r>
      <w:proofErr w:type="spellStart"/>
      <w:r w:rsidRPr="00926FF1">
        <w:rPr>
          <w:sz w:val="22"/>
          <w:szCs w:val="22"/>
        </w:rPr>
        <w:t>Ta’Afulisia</w:t>
      </w:r>
      <w:proofErr w:type="spellEnd"/>
      <w:r w:rsidRPr="00926FF1">
        <w:rPr>
          <w:sz w:val="22"/>
          <w:szCs w:val="22"/>
        </w:rPr>
        <w:t xml:space="preserve"> was convicted based in part on a recorded conversation implicating him in a shooting. His brother, unknowingly acting as a police informant, recorded the conversation. The court held the statements were not testimonial because they were made in a casual setting, without the declarants knowing they were being recorded for law enforcement. Thus, their admission did not violate the Confrontation Clause.</w:t>
      </w:r>
    </w:p>
    <w:p w14:paraId="2AD499E7" w14:textId="42DFCE8F" w:rsidR="00926FF1" w:rsidRPr="00926FF1" w:rsidRDefault="00926FF1" w:rsidP="00926FF1">
      <w:pPr>
        <w:rPr>
          <w:sz w:val="22"/>
          <w:szCs w:val="22"/>
        </w:rPr>
      </w:pPr>
      <w:r w:rsidRPr="00926FF1">
        <w:rPr>
          <w:i/>
          <w:iCs/>
          <w:sz w:val="22"/>
          <w:szCs w:val="22"/>
        </w:rPr>
        <w:t>State v. Wilcoxon</w:t>
      </w:r>
      <w:r w:rsidRPr="00926FF1">
        <w:rPr>
          <w:sz w:val="22"/>
          <w:szCs w:val="22"/>
        </w:rPr>
        <w:t>, 185 Wash.2d 324, 373 P.3d 224 (Wash. 2016)</w:t>
      </w:r>
      <w:r w:rsidRPr="00A24502">
        <w:rPr>
          <w:sz w:val="22"/>
          <w:szCs w:val="22"/>
        </w:rPr>
        <w:t xml:space="preserve">.  </w:t>
      </w:r>
      <w:r w:rsidRPr="00926FF1">
        <w:rPr>
          <w:sz w:val="22"/>
          <w:szCs w:val="22"/>
        </w:rPr>
        <w:t>Wilcoxon’s codefendant made statements to a friend implicating them both in a burglary. The court found the statements were nontestimonial since they were informal and not made for prosecutorial use. As such, their admission did not violate Wilcoxon’s confrontation rights.</w:t>
      </w:r>
    </w:p>
    <w:p w14:paraId="39210C3C" w14:textId="37848249" w:rsidR="00926FF1" w:rsidRPr="00926FF1" w:rsidRDefault="00926FF1" w:rsidP="00926FF1">
      <w:pPr>
        <w:rPr>
          <w:sz w:val="22"/>
          <w:szCs w:val="22"/>
        </w:rPr>
      </w:pPr>
      <w:r w:rsidRPr="00926FF1">
        <w:rPr>
          <w:i/>
          <w:iCs/>
          <w:sz w:val="22"/>
          <w:szCs w:val="22"/>
        </w:rPr>
        <w:lastRenderedPageBreak/>
        <w:t>State v. Lui</w:t>
      </w:r>
      <w:r w:rsidRPr="00926FF1">
        <w:rPr>
          <w:sz w:val="22"/>
          <w:szCs w:val="22"/>
        </w:rPr>
        <w:t>, 179 Wash.2d 457, 315 P.3d 493 (Wash. 2014)</w:t>
      </w:r>
      <w:r w:rsidRPr="00A24502">
        <w:rPr>
          <w:sz w:val="22"/>
          <w:szCs w:val="22"/>
        </w:rPr>
        <w:t xml:space="preserve">.  </w:t>
      </w:r>
      <w:r w:rsidRPr="00926FF1">
        <w:rPr>
          <w:sz w:val="22"/>
          <w:szCs w:val="22"/>
        </w:rPr>
        <w:t>Lui challenged the admission of forensic evidence offered through experts who did not perform the original tests. The court found no violation of the Confrontation Clause regarding DNA testimony because the expert who interpreted the results testified. However, it did find violations regarding certain toxicology and autopsy statements, though these were deemed harmless due to other strong evidence.</w:t>
      </w:r>
    </w:p>
    <w:p w14:paraId="43DF210E" w14:textId="73C03189" w:rsidR="00926FF1" w:rsidRPr="00926FF1" w:rsidRDefault="00926FF1" w:rsidP="00926FF1">
      <w:pPr>
        <w:rPr>
          <w:sz w:val="22"/>
          <w:szCs w:val="22"/>
        </w:rPr>
      </w:pPr>
      <w:r w:rsidRPr="00926FF1">
        <w:rPr>
          <w:i/>
          <w:iCs/>
          <w:sz w:val="22"/>
          <w:szCs w:val="22"/>
        </w:rPr>
        <w:t xml:space="preserve">In re </w:t>
      </w:r>
      <w:proofErr w:type="spellStart"/>
      <w:r w:rsidRPr="00926FF1">
        <w:rPr>
          <w:i/>
          <w:iCs/>
          <w:sz w:val="22"/>
          <w:szCs w:val="22"/>
        </w:rPr>
        <w:t>Hacheney</w:t>
      </w:r>
      <w:proofErr w:type="spellEnd"/>
      <w:r w:rsidRPr="00926FF1">
        <w:rPr>
          <w:sz w:val="22"/>
          <w:szCs w:val="22"/>
        </w:rPr>
        <w:t>, 169 Wash. App. 1, 288 P.3d 619 (Wash. App. 2012)</w:t>
      </w:r>
      <w:r w:rsidRPr="00A24502">
        <w:rPr>
          <w:sz w:val="22"/>
          <w:szCs w:val="22"/>
        </w:rPr>
        <w:t xml:space="preserve">.  </w:t>
      </w:r>
      <w:proofErr w:type="spellStart"/>
      <w:r w:rsidRPr="00926FF1">
        <w:rPr>
          <w:sz w:val="22"/>
          <w:szCs w:val="22"/>
        </w:rPr>
        <w:t>Hacheney</w:t>
      </w:r>
      <w:proofErr w:type="spellEnd"/>
      <w:r w:rsidRPr="00926FF1">
        <w:rPr>
          <w:sz w:val="22"/>
          <w:szCs w:val="22"/>
        </w:rPr>
        <w:t xml:space="preserve"> challenged the admission of a toxicology report after the analyst’s death. The court ruled that while the analyst did not testify, the report was used as a basis for an expert’s opinion and was cumulative of other evidence. Therefore, its admission did not violate the Confrontation Clause, and any error was harmless.</w:t>
      </w:r>
    </w:p>
    <w:p w14:paraId="6203E5F5" w14:textId="3BF103F7" w:rsidR="00926FF1" w:rsidRPr="00926FF1" w:rsidRDefault="00926FF1" w:rsidP="00926FF1">
      <w:pPr>
        <w:rPr>
          <w:sz w:val="22"/>
          <w:szCs w:val="22"/>
        </w:rPr>
      </w:pPr>
      <w:r w:rsidRPr="00926FF1">
        <w:rPr>
          <w:i/>
          <w:iCs/>
          <w:sz w:val="22"/>
          <w:szCs w:val="22"/>
        </w:rPr>
        <w:t xml:space="preserve">In re </w:t>
      </w:r>
      <w:proofErr w:type="spellStart"/>
      <w:r w:rsidRPr="00926FF1">
        <w:rPr>
          <w:i/>
          <w:iCs/>
          <w:sz w:val="22"/>
          <w:szCs w:val="22"/>
        </w:rPr>
        <w:t>Hacheney</w:t>
      </w:r>
      <w:proofErr w:type="spellEnd"/>
      <w:r w:rsidRPr="00926FF1">
        <w:rPr>
          <w:sz w:val="22"/>
          <w:szCs w:val="22"/>
        </w:rPr>
        <w:t>, 166 Wash. App. 322, 269 P.3d 397 (Wash. App. 2012)</w:t>
      </w:r>
      <w:r w:rsidRPr="00A24502">
        <w:rPr>
          <w:sz w:val="22"/>
          <w:szCs w:val="22"/>
        </w:rPr>
        <w:t xml:space="preserve">.  </w:t>
      </w:r>
      <w:r w:rsidRPr="00926FF1">
        <w:rPr>
          <w:sz w:val="22"/>
          <w:szCs w:val="22"/>
        </w:rPr>
        <w:t xml:space="preserve">This earlier </w:t>
      </w:r>
      <w:proofErr w:type="spellStart"/>
      <w:r w:rsidRPr="00926FF1">
        <w:rPr>
          <w:sz w:val="22"/>
          <w:szCs w:val="22"/>
        </w:rPr>
        <w:t>Hacheney</w:t>
      </w:r>
      <w:proofErr w:type="spellEnd"/>
      <w:r w:rsidRPr="00926FF1">
        <w:rPr>
          <w:sz w:val="22"/>
          <w:szCs w:val="22"/>
        </w:rPr>
        <w:t xml:space="preserve"> ruling found the toxicology report was not testimonial because it was not prepared for trial. The analyst was unavailable, and the report was admitted </w:t>
      </w:r>
      <w:proofErr w:type="gramStart"/>
      <w:r w:rsidRPr="00926FF1">
        <w:rPr>
          <w:sz w:val="22"/>
          <w:szCs w:val="22"/>
        </w:rPr>
        <w:t>to explain</w:t>
      </w:r>
      <w:proofErr w:type="gramEnd"/>
      <w:r w:rsidRPr="00926FF1">
        <w:rPr>
          <w:sz w:val="22"/>
          <w:szCs w:val="22"/>
        </w:rPr>
        <w:t xml:space="preserve"> an expert opinion. The court held this did not violate the Confrontation Clause under </w:t>
      </w:r>
      <w:r w:rsidRPr="00926FF1">
        <w:rPr>
          <w:i/>
          <w:iCs/>
          <w:sz w:val="22"/>
          <w:szCs w:val="22"/>
        </w:rPr>
        <w:t>Crawford</w:t>
      </w:r>
      <w:r w:rsidRPr="00926FF1">
        <w:rPr>
          <w:sz w:val="22"/>
          <w:szCs w:val="22"/>
        </w:rPr>
        <w:t xml:space="preserve"> and </w:t>
      </w:r>
      <w:r w:rsidRPr="00926FF1">
        <w:rPr>
          <w:i/>
          <w:iCs/>
          <w:sz w:val="22"/>
          <w:szCs w:val="22"/>
        </w:rPr>
        <w:t>Davis</w:t>
      </w:r>
      <w:r w:rsidRPr="00926FF1">
        <w:rPr>
          <w:sz w:val="22"/>
          <w:szCs w:val="22"/>
        </w:rPr>
        <w:t>.</w:t>
      </w:r>
    </w:p>
    <w:p w14:paraId="4A99D9F8" w14:textId="24ED4B31" w:rsidR="00926FF1" w:rsidRPr="00926FF1" w:rsidRDefault="00926FF1" w:rsidP="00926FF1">
      <w:pPr>
        <w:rPr>
          <w:sz w:val="22"/>
          <w:szCs w:val="22"/>
        </w:rPr>
      </w:pPr>
      <w:r w:rsidRPr="00926FF1">
        <w:rPr>
          <w:i/>
          <w:iCs/>
          <w:sz w:val="22"/>
          <w:szCs w:val="22"/>
        </w:rPr>
        <w:t>State v. O’Cain</w:t>
      </w:r>
      <w:r w:rsidRPr="00926FF1">
        <w:rPr>
          <w:sz w:val="22"/>
          <w:szCs w:val="22"/>
        </w:rPr>
        <w:t>, 169 Wash. App. 228, 279 P.3d 926 (Wash. App. 2012)</w:t>
      </w:r>
      <w:r w:rsidRPr="00A24502">
        <w:rPr>
          <w:sz w:val="22"/>
          <w:szCs w:val="22"/>
        </w:rPr>
        <w:t xml:space="preserve">.  </w:t>
      </w:r>
      <w:r w:rsidRPr="00926FF1">
        <w:rPr>
          <w:sz w:val="22"/>
          <w:szCs w:val="22"/>
        </w:rPr>
        <w:t xml:space="preserve">O’Cain was convicted partly based on statements made by the victim to medical personnel. He did not object </w:t>
      </w:r>
      <w:proofErr w:type="gramStart"/>
      <w:r w:rsidRPr="00926FF1">
        <w:rPr>
          <w:sz w:val="22"/>
          <w:szCs w:val="22"/>
        </w:rPr>
        <w:t>at</w:t>
      </w:r>
      <w:proofErr w:type="gramEnd"/>
      <w:r w:rsidRPr="00926FF1">
        <w:rPr>
          <w:sz w:val="22"/>
          <w:szCs w:val="22"/>
        </w:rPr>
        <w:t xml:space="preserve"> trial, forfeiting his confrontation claim. The court concluded that the statements were nontestimonial because they were made for medical treatment, and their admission did not violate the Confrontation Clause.</w:t>
      </w:r>
    </w:p>
    <w:p w14:paraId="0B4BE380" w14:textId="00FAB401" w:rsidR="00926FF1" w:rsidRPr="00926FF1" w:rsidRDefault="00926FF1" w:rsidP="00926FF1">
      <w:pPr>
        <w:rPr>
          <w:sz w:val="22"/>
          <w:szCs w:val="22"/>
        </w:rPr>
      </w:pPr>
      <w:r w:rsidRPr="00926FF1">
        <w:rPr>
          <w:i/>
          <w:iCs/>
          <w:sz w:val="22"/>
          <w:szCs w:val="22"/>
        </w:rPr>
        <w:t>State v. Doerflinger</w:t>
      </w:r>
      <w:r w:rsidRPr="00926FF1">
        <w:rPr>
          <w:sz w:val="22"/>
          <w:szCs w:val="22"/>
        </w:rPr>
        <w:t>, 285 P.3d 217 (Wash. App. 2012)</w:t>
      </w:r>
      <w:r w:rsidRPr="00A24502">
        <w:rPr>
          <w:sz w:val="22"/>
          <w:szCs w:val="22"/>
        </w:rPr>
        <w:t xml:space="preserve">.  </w:t>
      </w:r>
      <w:r w:rsidRPr="00926FF1">
        <w:rPr>
          <w:sz w:val="22"/>
          <w:szCs w:val="22"/>
        </w:rPr>
        <w:t xml:space="preserve">Clark challenged radiologist findings admitted through a </w:t>
      </w:r>
      <w:proofErr w:type="gramStart"/>
      <w:r w:rsidRPr="00926FF1">
        <w:rPr>
          <w:sz w:val="22"/>
          <w:szCs w:val="22"/>
        </w:rPr>
        <w:t>treating physician</w:t>
      </w:r>
      <w:proofErr w:type="gramEnd"/>
      <w:r w:rsidRPr="00926FF1">
        <w:rPr>
          <w:sz w:val="22"/>
          <w:szCs w:val="22"/>
        </w:rPr>
        <w:t xml:space="preserve"> without the radiologist’s testimony. The court held the findings were not testimonial, as they were made for medical diagnosis and not prosecution. Their admission did not violate the Confrontation Clause.</w:t>
      </w:r>
    </w:p>
    <w:p w14:paraId="79636842" w14:textId="61655F4F" w:rsidR="00926FF1" w:rsidRPr="00926FF1" w:rsidRDefault="00926FF1" w:rsidP="00926FF1">
      <w:pPr>
        <w:rPr>
          <w:sz w:val="22"/>
          <w:szCs w:val="22"/>
        </w:rPr>
      </w:pPr>
      <w:r w:rsidRPr="00926FF1">
        <w:rPr>
          <w:i/>
          <w:iCs/>
          <w:sz w:val="22"/>
          <w:szCs w:val="22"/>
        </w:rPr>
        <w:t>State v. Burke</w:t>
      </w:r>
      <w:r w:rsidRPr="00926FF1">
        <w:rPr>
          <w:sz w:val="22"/>
          <w:szCs w:val="22"/>
        </w:rPr>
        <w:t>, 196 Wash.2d 712, 478 P.3d 1096 (Wash. 2021)</w:t>
      </w:r>
      <w:r w:rsidRPr="00A24502">
        <w:rPr>
          <w:sz w:val="22"/>
          <w:szCs w:val="22"/>
        </w:rPr>
        <w:t xml:space="preserve">.  </w:t>
      </w:r>
      <w:r w:rsidRPr="00926FF1">
        <w:rPr>
          <w:sz w:val="22"/>
          <w:szCs w:val="22"/>
        </w:rPr>
        <w:t xml:space="preserve">Burke was convicted of rape, with the State relying on statements made by the deceased victim to a nurse examiner. The court ruled that most of the victim’s statements were nontestimonial because they were made for medical care. One statement describing the assailant was deemed </w:t>
      </w:r>
      <w:proofErr w:type="gramStart"/>
      <w:r w:rsidRPr="00926FF1">
        <w:rPr>
          <w:sz w:val="22"/>
          <w:szCs w:val="22"/>
        </w:rPr>
        <w:t>testimonial</w:t>
      </w:r>
      <w:proofErr w:type="gramEnd"/>
      <w:r w:rsidRPr="00926FF1">
        <w:rPr>
          <w:sz w:val="22"/>
          <w:szCs w:val="22"/>
        </w:rPr>
        <w:t xml:space="preserve"> but its admission was harmless due to overwhelming DNA evidence.</w:t>
      </w:r>
    </w:p>
    <w:p w14:paraId="75A3A61B" w14:textId="5B24F153" w:rsidR="00926FF1" w:rsidRPr="00926FF1" w:rsidRDefault="00926FF1" w:rsidP="00926FF1">
      <w:pPr>
        <w:rPr>
          <w:sz w:val="22"/>
          <w:szCs w:val="22"/>
        </w:rPr>
      </w:pPr>
      <w:r w:rsidRPr="00926FF1">
        <w:rPr>
          <w:i/>
          <w:iCs/>
          <w:sz w:val="22"/>
          <w:szCs w:val="22"/>
        </w:rPr>
        <w:t>State v. Crawford</w:t>
      </w:r>
      <w:r w:rsidRPr="00926FF1">
        <w:rPr>
          <w:sz w:val="22"/>
          <w:szCs w:val="22"/>
        </w:rPr>
        <w:t>, 147 Wash.2d 424, 54 P.3d 656 (Wash. 2002)</w:t>
      </w:r>
      <w:r w:rsidRPr="00A24502">
        <w:rPr>
          <w:sz w:val="22"/>
          <w:szCs w:val="22"/>
        </w:rPr>
        <w:t xml:space="preserve">.  </w:t>
      </w:r>
      <w:r w:rsidRPr="00926FF1">
        <w:rPr>
          <w:sz w:val="22"/>
          <w:szCs w:val="22"/>
        </w:rPr>
        <w:t>Michael Crawford challenged the admission of his wife’s police statement, arguing marital privilege and Confrontation Clause violations. The court held that invoking marital privilege did not waive confrontation rights. Because the statement was interlocking and bore indicia of reliability, it was admissible under the Confrontation Clause.</w:t>
      </w:r>
    </w:p>
    <w:p w14:paraId="4428A48E" w14:textId="77777777" w:rsidR="00926FF1" w:rsidRPr="00997465" w:rsidRDefault="00926FF1" w:rsidP="00773CCE">
      <w:pPr>
        <w:rPr>
          <w:sz w:val="22"/>
          <w:szCs w:val="22"/>
        </w:rPr>
      </w:pPr>
    </w:p>
    <w:p w14:paraId="416B7A08" w14:textId="14BFF530" w:rsidR="00744121" w:rsidRPr="00A24502" w:rsidRDefault="00744121" w:rsidP="00005E2D">
      <w:pPr>
        <w:pStyle w:val="ListParagraph"/>
        <w:numPr>
          <w:ilvl w:val="1"/>
          <w:numId w:val="26"/>
        </w:numPr>
        <w:outlineLvl w:val="1"/>
        <w:rPr>
          <w:b/>
          <w:bCs/>
          <w:sz w:val="22"/>
          <w:szCs w:val="22"/>
        </w:rPr>
      </w:pPr>
      <w:bookmarkStart w:id="13" w:name="_Toc196247731"/>
      <w:r w:rsidRPr="00A24502">
        <w:rPr>
          <w:b/>
          <w:bCs/>
          <w:sz w:val="22"/>
          <w:szCs w:val="22"/>
        </w:rPr>
        <w:t>Challeng</w:t>
      </w:r>
      <w:r w:rsidRPr="00A24502">
        <w:rPr>
          <w:b/>
          <w:bCs/>
          <w:sz w:val="22"/>
          <w:szCs w:val="22"/>
        </w:rPr>
        <w:t>e</w:t>
      </w:r>
      <w:r w:rsidRPr="00A24502">
        <w:rPr>
          <w:b/>
          <w:bCs/>
          <w:sz w:val="22"/>
          <w:szCs w:val="22"/>
        </w:rPr>
        <w:t xml:space="preserve"> </w:t>
      </w:r>
      <w:r w:rsidRPr="00A24502">
        <w:rPr>
          <w:b/>
          <w:bCs/>
          <w:sz w:val="22"/>
          <w:szCs w:val="22"/>
        </w:rPr>
        <w:t>Alternate Theories of Admissibility</w:t>
      </w:r>
      <w:r w:rsidR="00690F7A" w:rsidRPr="00A24502">
        <w:rPr>
          <w:b/>
          <w:bCs/>
          <w:sz w:val="22"/>
          <w:szCs w:val="22"/>
        </w:rPr>
        <w:t xml:space="preserve"> that Would be Immune to the Confrontation Clause Challenge</w:t>
      </w:r>
      <w:bookmarkEnd w:id="13"/>
    </w:p>
    <w:p w14:paraId="588978F1" w14:textId="713C4F2F" w:rsidR="00773CCE" w:rsidRPr="00A24502" w:rsidRDefault="003476BE" w:rsidP="003476BE">
      <w:pPr>
        <w:rPr>
          <w:sz w:val="22"/>
          <w:szCs w:val="22"/>
        </w:rPr>
      </w:pPr>
      <w:r w:rsidRPr="00A24502">
        <w:rPr>
          <w:sz w:val="22"/>
          <w:szCs w:val="22"/>
        </w:rPr>
        <w:lastRenderedPageBreak/>
        <w:t xml:space="preserve">In cases where the State offers an out-of-court statement and the declarant is unavailable for cross-examination, prosecutors may attempt to avoid Confrontation Clause scrutiny by relying on hearsay exceptions that are considered categorically </w:t>
      </w:r>
      <w:r w:rsidRPr="00A24502">
        <w:rPr>
          <w:i/>
          <w:iCs/>
          <w:sz w:val="22"/>
          <w:szCs w:val="22"/>
        </w:rPr>
        <w:t>non-testimonial</w:t>
      </w:r>
      <w:r w:rsidRPr="00A24502">
        <w:rPr>
          <w:sz w:val="22"/>
          <w:szCs w:val="22"/>
        </w:rPr>
        <w:t xml:space="preserve">. Two common fallback arguments are that the statement is either an </w:t>
      </w:r>
      <w:r w:rsidRPr="00A24502">
        <w:rPr>
          <w:i/>
          <w:iCs/>
          <w:sz w:val="22"/>
          <w:szCs w:val="22"/>
        </w:rPr>
        <w:t>excited utterance</w:t>
      </w:r>
      <w:r w:rsidRPr="00A24502">
        <w:rPr>
          <w:sz w:val="22"/>
          <w:szCs w:val="22"/>
        </w:rPr>
        <w:t xml:space="preserve"> under ER 803(a)(2) or a </w:t>
      </w:r>
      <w:r w:rsidRPr="00A24502">
        <w:rPr>
          <w:i/>
          <w:iCs/>
          <w:sz w:val="22"/>
          <w:szCs w:val="22"/>
        </w:rPr>
        <w:t>present sense impression</w:t>
      </w:r>
      <w:r w:rsidRPr="00A24502">
        <w:rPr>
          <w:sz w:val="22"/>
          <w:szCs w:val="22"/>
        </w:rPr>
        <w:t xml:space="preserve"> under ER 803(a)(1). Defense counsel should be prepared to rigorously challenge these theories, as they may be used to circumvent constitutionally required confrontation rights.</w:t>
      </w:r>
    </w:p>
    <w:p w14:paraId="5DD9FDBA" w14:textId="77777777" w:rsidR="003476BE" w:rsidRPr="00A24502" w:rsidRDefault="003476BE" w:rsidP="003476BE">
      <w:pPr>
        <w:rPr>
          <w:sz w:val="22"/>
          <w:szCs w:val="22"/>
        </w:rPr>
      </w:pPr>
    </w:p>
    <w:p w14:paraId="59121025" w14:textId="5E64B53B" w:rsidR="00744121" w:rsidRPr="00A24502" w:rsidRDefault="00744121" w:rsidP="00005E2D">
      <w:pPr>
        <w:pStyle w:val="ListParagraph"/>
        <w:numPr>
          <w:ilvl w:val="3"/>
          <w:numId w:val="26"/>
        </w:numPr>
        <w:outlineLvl w:val="2"/>
        <w:rPr>
          <w:sz w:val="22"/>
          <w:szCs w:val="22"/>
          <w:u w:val="single"/>
        </w:rPr>
      </w:pPr>
      <w:bookmarkStart w:id="14" w:name="_Toc196247732"/>
      <w:r w:rsidRPr="00A24502">
        <w:rPr>
          <w:sz w:val="22"/>
          <w:szCs w:val="22"/>
          <w:u w:val="single"/>
        </w:rPr>
        <w:t>Alleged Excited Utterances</w:t>
      </w:r>
      <w:bookmarkEnd w:id="14"/>
    </w:p>
    <w:p w14:paraId="7763C685" w14:textId="77777777" w:rsidR="003476BE" w:rsidRPr="00A24502" w:rsidRDefault="003476BE" w:rsidP="003476BE">
      <w:pPr>
        <w:rPr>
          <w:sz w:val="22"/>
          <w:szCs w:val="22"/>
        </w:rPr>
      </w:pPr>
      <w:r w:rsidRPr="00A24502">
        <w:rPr>
          <w:sz w:val="22"/>
          <w:szCs w:val="22"/>
        </w:rPr>
        <w:t xml:space="preserve">Under Washington law, a statement qualifies as an excited utterance if it relates to a startling event or condition and was made while the declarant was still under the stress of excitement caused by that event. The core of the doctrine is </w:t>
      </w:r>
      <w:proofErr w:type="gramStart"/>
      <w:r w:rsidRPr="00A24502">
        <w:rPr>
          <w:sz w:val="22"/>
          <w:szCs w:val="22"/>
        </w:rPr>
        <w:t>spontaneity—</w:t>
      </w:r>
      <w:proofErr w:type="gramEnd"/>
      <w:r w:rsidRPr="00A24502">
        <w:rPr>
          <w:sz w:val="22"/>
          <w:szCs w:val="22"/>
        </w:rPr>
        <w:t>the statement must be made without time for reflection or fabrication. To challenge admissibility under this rule, the defense should closely examine the timing, demeanor, and context of the statement. If the alleged victim had time to calm down, reflect, speak with others, or be influenced in any way, the statement loses its spontaneous character and becomes inadmissible under ER 803(a)(2).</w:t>
      </w:r>
    </w:p>
    <w:p w14:paraId="5D28E2B1" w14:textId="77777777" w:rsidR="003476BE" w:rsidRPr="00A24502" w:rsidRDefault="003476BE" w:rsidP="003476BE">
      <w:pPr>
        <w:rPr>
          <w:sz w:val="22"/>
          <w:szCs w:val="22"/>
        </w:rPr>
      </w:pPr>
      <w:r w:rsidRPr="00A24502">
        <w:rPr>
          <w:sz w:val="22"/>
          <w:szCs w:val="22"/>
        </w:rPr>
        <w:t xml:space="preserve">In some circumstances, a 911 call or immediate statements to police may be characterized as *excited utterances* if they meet the requirements of ER 803(a)(2). Courts will often consider such statements admissible when they are made during or immediately after a startling event—such as an assault or domestic violence incident—while the declarant is still under the stress of that event. For example, if a caller frantically reports being attacked moments after the incident, and the call reflects clear emotional distress, such a statement may be considered spontaneous and therefore admissible as an excited utterance. </w:t>
      </w:r>
    </w:p>
    <w:p w14:paraId="7BAA571B" w14:textId="77777777" w:rsidR="003476BE" w:rsidRPr="00A24502" w:rsidRDefault="003476BE" w:rsidP="003476BE">
      <w:pPr>
        <w:rPr>
          <w:sz w:val="22"/>
          <w:szCs w:val="22"/>
        </w:rPr>
      </w:pPr>
      <w:r w:rsidRPr="00A24502">
        <w:rPr>
          <w:sz w:val="22"/>
          <w:szCs w:val="22"/>
        </w:rPr>
        <w:t>However, if there is a significant lapse of time between the event and the statement, or if the declarant's tone is calm and collected, the statement becomes less spontaneous and more reflective, making it more difficult to justify under this exception. Defense counsel should closely examine the timing, demeanor, and context of the 911 call or police interview to determine whether the declarant was truly under the influence of the startling event or had already begun to process and narrate events with an eye toward potential consequences.</w:t>
      </w:r>
      <w:r w:rsidRPr="00A24502">
        <w:rPr>
          <w:sz w:val="22"/>
          <w:szCs w:val="22"/>
        </w:rPr>
        <w:t xml:space="preserve"> </w:t>
      </w:r>
    </w:p>
    <w:p w14:paraId="7B8384D9" w14:textId="6042BF1B" w:rsidR="003476BE" w:rsidRPr="00A24502" w:rsidRDefault="003476BE" w:rsidP="003476BE">
      <w:pPr>
        <w:rPr>
          <w:sz w:val="22"/>
          <w:szCs w:val="22"/>
        </w:rPr>
      </w:pPr>
      <w:r w:rsidRPr="00A24502">
        <w:rPr>
          <w:sz w:val="22"/>
          <w:szCs w:val="22"/>
        </w:rPr>
        <w:t xml:space="preserve">Defense counsel should argue that in many domestic violence cases, the declarant’s statements to responding officers do not meet this standard. Often, the declarant has had time to think about the incident, engage in discussions with friends, family, or police, and potentially craft a narrative. These factors undermine the spontaneity and reliability that justify the exception. Moreover, if the statement was made in response to questioning by law enforcement rather than offered freely and unprompted, it may reflect deliberation rather than raw, unrehearsed reaction. </w:t>
      </w:r>
    </w:p>
    <w:p w14:paraId="698D0BEF" w14:textId="7F8C7DAD" w:rsidR="003476BE" w:rsidRPr="00A24502" w:rsidRDefault="003476BE" w:rsidP="003476BE">
      <w:pPr>
        <w:rPr>
          <w:sz w:val="22"/>
          <w:szCs w:val="22"/>
        </w:rPr>
      </w:pPr>
    </w:p>
    <w:p w14:paraId="216AEBEF" w14:textId="630FBBA5" w:rsidR="003476BE" w:rsidRPr="00A24502" w:rsidRDefault="003476BE" w:rsidP="003476BE">
      <w:pPr>
        <w:rPr>
          <w:sz w:val="22"/>
          <w:szCs w:val="22"/>
        </w:rPr>
      </w:pPr>
    </w:p>
    <w:p w14:paraId="1F72324F" w14:textId="1DEA06E5" w:rsidR="00744121" w:rsidRPr="00A24502" w:rsidRDefault="00744121" w:rsidP="00744121">
      <w:pPr>
        <w:rPr>
          <w:sz w:val="22"/>
          <w:szCs w:val="22"/>
        </w:rPr>
      </w:pPr>
      <w:r w:rsidRPr="00A24502">
        <w:rPr>
          <w:sz w:val="22"/>
          <w:szCs w:val="22"/>
        </w:rPr>
        <w:lastRenderedPageBreak/>
        <w:t>In Washington, an excited utterance is a statement relating to a startling event or condition made while the declarant was under the stress of excitement caused by the event. To qualify under ER 803(a)(2), the statement must be spontaneous, made without time for reflection, and closely connected in time to the startling event.</w:t>
      </w:r>
    </w:p>
    <w:p w14:paraId="67A644F2" w14:textId="77777777" w:rsidR="00744121" w:rsidRPr="00A24502" w:rsidRDefault="00744121" w:rsidP="00744121">
      <w:pPr>
        <w:pStyle w:val="ListParagraph"/>
        <w:numPr>
          <w:ilvl w:val="0"/>
          <w:numId w:val="22"/>
        </w:numPr>
        <w:rPr>
          <w:sz w:val="22"/>
          <w:szCs w:val="22"/>
        </w:rPr>
      </w:pPr>
      <w:r w:rsidRPr="00A24502">
        <w:rPr>
          <w:sz w:val="22"/>
          <w:szCs w:val="22"/>
        </w:rPr>
        <w:t xml:space="preserve">Explain why the alleged victim’s statements to officers do not qualify as </w:t>
      </w:r>
      <w:proofErr w:type="gramStart"/>
      <w:r w:rsidRPr="00A24502">
        <w:rPr>
          <w:sz w:val="22"/>
          <w:szCs w:val="22"/>
        </w:rPr>
        <w:t>excited</w:t>
      </w:r>
      <w:proofErr w:type="gramEnd"/>
      <w:r w:rsidRPr="00A24502">
        <w:rPr>
          <w:sz w:val="22"/>
          <w:szCs w:val="22"/>
        </w:rPr>
        <w:t xml:space="preserve"> utterances</w:t>
      </w:r>
    </w:p>
    <w:p w14:paraId="5048296F" w14:textId="77777777" w:rsidR="00744121" w:rsidRPr="00A24502" w:rsidRDefault="00744121" w:rsidP="00744121">
      <w:pPr>
        <w:pStyle w:val="ListParagraph"/>
        <w:numPr>
          <w:ilvl w:val="0"/>
          <w:numId w:val="22"/>
        </w:numPr>
        <w:rPr>
          <w:sz w:val="22"/>
          <w:szCs w:val="22"/>
        </w:rPr>
      </w:pPr>
      <w:r w:rsidRPr="00A24502">
        <w:rPr>
          <w:sz w:val="22"/>
          <w:szCs w:val="22"/>
        </w:rPr>
        <w:t>Argue that the declarant had time to reflect, formulate, or be influenced.</w:t>
      </w:r>
    </w:p>
    <w:p w14:paraId="0CFA06CD" w14:textId="5F440A33" w:rsidR="00744121" w:rsidRPr="00A24502" w:rsidRDefault="00744121" w:rsidP="00744121">
      <w:pPr>
        <w:pStyle w:val="ListParagraph"/>
        <w:numPr>
          <w:ilvl w:val="0"/>
          <w:numId w:val="22"/>
        </w:numPr>
        <w:rPr>
          <w:sz w:val="22"/>
          <w:szCs w:val="22"/>
        </w:rPr>
      </w:pPr>
      <w:r w:rsidRPr="00A24502">
        <w:rPr>
          <w:sz w:val="22"/>
          <w:szCs w:val="22"/>
        </w:rPr>
        <w:t>Challenge the timing, demeanor, and purpose of the statement to show it was not spontaneous.</w:t>
      </w:r>
    </w:p>
    <w:p w14:paraId="3BE92F56" w14:textId="77777777" w:rsidR="00744121" w:rsidRPr="00A24502" w:rsidRDefault="00744121" w:rsidP="00773CCE">
      <w:pPr>
        <w:rPr>
          <w:sz w:val="22"/>
          <w:szCs w:val="22"/>
          <w:u w:val="single"/>
        </w:rPr>
      </w:pPr>
    </w:p>
    <w:p w14:paraId="7BF4E633" w14:textId="4AC76EBE" w:rsidR="00744121" w:rsidRPr="00A24502" w:rsidRDefault="00744121" w:rsidP="00773CCE">
      <w:pPr>
        <w:pStyle w:val="ListParagraph"/>
        <w:numPr>
          <w:ilvl w:val="0"/>
          <w:numId w:val="18"/>
        </w:numPr>
        <w:outlineLvl w:val="2"/>
        <w:rPr>
          <w:sz w:val="22"/>
          <w:szCs w:val="22"/>
          <w:u w:val="single"/>
        </w:rPr>
      </w:pPr>
      <w:bookmarkStart w:id="15" w:name="_Toc196247733"/>
      <w:r w:rsidRPr="00A24502">
        <w:rPr>
          <w:sz w:val="22"/>
          <w:szCs w:val="22"/>
          <w:u w:val="single"/>
        </w:rPr>
        <w:t>Present Sense Impression</w:t>
      </w:r>
      <w:bookmarkEnd w:id="15"/>
    </w:p>
    <w:p w14:paraId="028D6E19" w14:textId="77777777" w:rsidR="003476BE" w:rsidRPr="00A24502" w:rsidRDefault="003476BE" w:rsidP="003476BE">
      <w:pPr>
        <w:rPr>
          <w:sz w:val="22"/>
          <w:szCs w:val="22"/>
        </w:rPr>
      </w:pPr>
      <w:r w:rsidRPr="00A24502">
        <w:rPr>
          <w:sz w:val="22"/>
          <w:szCs w:val="22"/>
        </w:rPr>
        <w:t>The present sense impression exception under ER 803(a)(1) allows for the admission of statements describing or explaining an event or condition, made while the declarant was perceiving it or immediately thereafter. This exception is narrowly construed and demands strict contemporaneity with the observed event. The theory is that such statements are inherently reliable because they are made without time to fabricate.</w:t>
      </w:r>
    </w:p>
    <w:p w14:paraId="5EDE80E6" w14:textId="77777777" w:rsidR="003476BE" w:rsidRPr="00A24502" w:rsidRDefault="003476BE" w:rsidP="003476BE">
      <w:pPr>
        <w:rPr>
          <w:sz w:val="22"/>
          <w:szCs w:val="22"/>
        </w:rPr>
      </w:pPr>
      <w:r w:rsidRPr="00A24502">
        <w:rPr>
          <w:sz w:val="22"/>
          <w:szCs w:val="22"/>
        </w:rPr>
        <w:t>Defense counsel can challenge admissibility under this rule by questioning whether the statement truly coincided with the event. Any lapse in time, even short, can break the necessary connection. Additionally, statements made in response to police questioning or with an eye toward prosecution are highly suspect and arguably testimonial. A key strategy is to emphasize the declarant’s motivations, setting, and possible influences at the time of the statement. If it was made even moments after the event ended, or if the declarant had an opportunity to reflect or exaggerate, it does not qualify as a true present sense impression and must be excluded.</w:t>
      </w:r>
    </w:p>
    <w:p w14:paraId="2A9E990B" w14:textId="77777777" w:rsidR="003476BE" w:rsidRPr="00A24502" w:rsidRDefault="003476BE" w:rsidP="003476BE">
      <w:pPr>
        <w:rPr>
          <w:sz w:val="22"/>
          <w:szCs w:val="22"/>
        </w:rPr>
      </w:pPr>
      <w:r w:rsidRPr="00A24502">
        <w:rPr>
          <w:sz w:val="22"/>
          <w:szCs w:val="22"/>
        </w:rPr>
        <w:t>In both contexts, it is critical to emphasize that not all spontaneous-sounding statements are spontaneous in the legal sense, and many such statements are in fact testimonial under Crawford, particularly when made to law enforcement. Thus, even if they arguably fall within a hearsay exception, their admission may still raise constitutional concerns depending on the purpose and setting of the statement.</w:t>
      </w:r>
    </w:p>
    <w:p w14:paraId="437E934A" w14:textId="5F430EE0" w:rsidR="00744121" w:rsidRPr="00A24502" w:rsidRDefault="00744121" w:rsidP="003476BE">
      <w:pPr>
        <w:rPr>
          <w:sz w:val="22"/>
          <w:szCs w:val="22"/>
        </w:rPr>
      </w:pPr>
      <w:r w:rsidRPr="00A24502">
        <w:rPr>
          <w:sz w:val="22"/>
          <w:szCs w:val="22"/>
        </w:rPr>
        <w:t xml:space="preserve">In Washington, a party seeking to challenge the admission of an extrajudicial statement under the </w:t>
      </w:r>
      <w:r w:rsidRPr="00A24502">
        <w:rPr>
          <w:b/>
          <w:bCs/>
          <w:sz w:val="22"/>
          <w:szCs w:val="22"/>
        </w:rPr>
        <w:t>present sense impression</w:t>
      </w:r>
      <w:r w:rsidRPr="00A24502">
        <w:rPr>
          <w:sz w:val="22"/>
          <w:szCs w:val="22"/>
        </w:rPr>
        <w:t xml:space="preserve"> exception to hearsay (ER 803(a)(1)) can rely on several legal theories:</w:t>
      </w:r>
    </w:p>
    <w:p w14:paraId="2F526D03" w14:textId="5CF19AA7" w:rsidR="00744121" w:rsidRPr="00A24502" w:rsidRDefault="00744121" w:rsidP="00773CCE">
      <w:pPr>
        <w:rPr>
          <w:sz w:val="22"/>
          <w:szCs w:val="22"/>
        </w:rPr>
      </w:pPr>
      <w:r w:rsidRPr="00A24502">
        <w:rPr>
          <w:sz w:val="22"/>
          <w:szCs w:val="22"/>
        </w:rPr>
        <w:t>Lack of contemporaneity: The statement must describe or explain an event or condition while the declarant was perceiving it or immediately thereafter. Courts strictly construe this requirement; if there is a significant time lapse or reflective thought, the statement may be inadmissible.</w:t>
      </w:r>
      <w:r w:rsidR="00773CCE" w:rsidRPr="00A24502">
        <w:rPr>
          <w:sz w:val="22"/>
          <w:szCs w:val="22"/>
        </w:rPr>
        <w:t xml:space="preserve">  Key analytical points:</w:t>
      </w:r>
    </w:p>
    <w:p w14:paraId="257CE3B4" w14:textId="77777777" w:rsidR="00773CCE" w:rsidRPr="00A24502" w:rsidRDefault="00744121" w:rsidP="00773CCE">
      <w:pPr>
        <w:pStyle w:val="ListParagraph"/>
        <w:numPr>
          <w:ilvl w:val="0"/>
          <w:numId w:val="22"/>
        </w:numPr>
        <w:rPr>
          <w:sz w:val="22"/>
          <w:szCs w:val="22"/>
        </w:rPr>
      </w:pPr>
      <w:r w:rsidRPr="00A24502">
        <w:rPr>
          <w:sz w:val="22"/>
          <w:szCs w:val="22"/>
        </w:rPr>
        <w:lastRenderedPageBreak/>
        <w:t>No personal perception: The declarant must have personally perceived the event or condition described. If the statement is based on secondhand information, assumptions, or speculation, it does not qualify</w:t>
      </w:r>
      <w:r w:rsidR="00773CCE" w:rsidRPr="00A24502">
        <w:rPr>
          <w:sz w:val="22"/>
          <w:szCs w:val="22"/>
        </w:rPr>
        <w:t>.</w:t>
      </w:r>
    </w:p>
    <w:p w14:paraId="1354CA06" w14:textId="77777777" w:rsidR="00773CCE" w:rsidRPr="00A24502" w:rsidRDefault="00744121" w:rsidP="00773CCE">
      <w:pPr>
        <w:pStyle w:val="ListParagraph"/>
        <w:numPr>
          <w:ilvl w:val="0"/>
          <w:numId w:val="22"/>
        </w:numPr>
        <w:rPr>
          <w:sz w:val="22"/>
          <w:szCs w:val="22"/>
        </w:rPr>
      </w:pPr>
      <w:r w:rsidRPr="00A24502">
        <w:rPr>
          <w:sz w:val="22"/>
          <w:szCs w:val="22"/>
        </w:rPr>
        <w:t>Narrative or interpretive statements: If the statement includes conclusions, narratives, or interpretive commentary rather than a direct description of observed facts, it falls outside the scope of ER 803(a)(1).</w:t>
      </w:r>
    </w:p>
    <w:p w14:paraId="5CB83251" w14:textId="39C9F1FA" w:rsidR="00744121" w:rsidRPr="00A24502" w:rsidRDefault="00744121" w:rsidP="00773CCE">
      <w:pPr>
        <w:pStyle w:val="ListParagraph"/>
        <w:numPr>
          <w:ilvl w:val="0"/>
          <w:numId w:val="22"/>
        </w:numPr>
        <w:rPr>
          <w:sz w:val="22"/>
          <w:szCs w:val="22"/>
        </w:rPr>
      </w:pPr>
      <w:r w:rsidRPr="00A24502">
        <w:rPr>
          <w:sz w:val="22"/>
          <w:szCs w:val="22"/>
        </w:rPr>
        <w:t>Lack of corroboration: Some Washington cases suggest the need for independent corroboration of the event described. If the surrounding circumstances cast doubt on the accuracy or spontaneity of the statement, it may be excluded.</w:t>
      </w:r>
    </w:p>
    <w:p w14:paraId="55C0B026" w14:textId="72F9CA75" w:rsidR="00320F7F" w:rsidRPr="00A24502" w:rsidRDefault="00744121">
      <w:pPr>
        <w:rPr>
          <w:sz w:val="22"/>
          <w:szCs w:val="22"/>
        </w:rPr>
      </w:pPr>
      <w:r w:rsidRPr="00744121">
        <w:rPr>
          <w:sz w:val="22"/>
          <w:szCs w:val="22"/>
        </w:rPr>
        <w:t xml:space="preserve">Relevant cases include State v. Rodriquez, 141 </w:t>
      </w:r>
      <w:proofErr w:type="spellStart"/>
      <w:r w:rsidRPr="00744121">
        <w:rPr>
          <w:sz w:val="22"/>
          <w:szCs w:val="22"/>
        </w:rPr>
        <w:t>Wn</w:t>
      </w:r>
      <w:proofErr w:type="spellEnd"/>
      <w:r w:rsidRPr="00744121">
        <w:rPr>
          <w:sz w:val="22"/>
          <w:szCs w:val="22"/>
        </w:rPr>
        <w:t xml:space="preserve">. App. 675 (2007), and State v. Martinez, 105 </w:t>
      </w:r>
      <w:proofErr w:type="spellStart"/>
      <w:r w:rsidRPr="00744121">
        <w:rPr>
          <w:sz w:val="22"/>
          <w:szCs w:val="22"/>
        </w:rPr>
        <w:t>Wn</w:t>
      </w:r>
      <w:proofErr w:type="spellEnd"/>
      <w:r w:rsidRPr="00744121">
        <w:rPr>
          <w:sz w:val="22"/>
          <w:szCs w:val="22"/>
        </w:rPr>
        <w:t xml:space="preserve">. App. 775 (2001), which </w:t>
      </w:r>
      <w:proofErr w:type="gramStart"/>
      <w:r w:rsidRPr="00744121">
        <w:rPr>
          <w:sz w:val="22"/>
          <w:szCs w:val="22"/>
        </w:rPr>
        <w:t>provide</w:t>
      </w:r>
      <w:proofErr w:type="gramEnd"/>
      <w:r w:rsidRPr="00744121">
        <w:rPr>
          <w:sz w:val="22"/>
          <w:szCs w:val="22"/>
        </w:rPr>
        <w:t xml:space="preserve"> guidance on these points.</w:t>
      </w:r>
    </w:p>
    <w:p w14:paraId="27DEC370" w14:textId="77777777" w:rsidR="00773CCE" w:rsidRPr="00997465" w:rsidRDefault="00773CCE" w:rsidP="00773CCE">
      <w:pPr>
        <w:rPr>
          <w:sz w:val="22"/>
          <w:szCs w:val="22"/>
        </w:rPr>
      </w:pPr>
    </w:p>
    <w:p w14:paraId="56E69A3A" w14:textId="458403BC" w:rsidR="00997465" w:rsidRPr="00A24502" w:rsidRDefault="00997465" w:rsidP="00005E2D">
      <w:pPr>
        <w:pStyle w:val="ListParagraph"/>
        <w:numPr>
          <w:ilvl w:val="1"/>
          <w:numId w:val="26"/>
        </w:numPr>
        <w:outlineLvl w:val="1"/>
        <w:rPr>
          <w:b/>
          <w:bCs/>
          <w:sz w:val="22"/>
          <w:szCs w:val="22"/>
        </w:rPr>
      </w:pPr>
      <w:bookmarkStart w:id="16" w:name="_Toc196247734"/>
      <w:r w:rsidRPr="00A24502">
        <w:rPr>
          <w:rFonts w:cs="Times"/>
          <w:b/>
          <w:bCs/>
          <w:sz w:val="22"/>
          <w:szCs w:val="22"/>
        </w:rPr>
        <w:t>Challenging the Witness’s Competency under RCW 5.60.050</w:t>
      </w:r>
      <w:bookmarkEnd w:id="16"/>
    </w:p>
    <w:p w14:paraId="1C1D3D98" w14:textId="2A5F652A" w:rsidR="00997465" w:rsidRPr="00997465" w:rsidRDefault="002125BB" w:rsidP="002125BB">
      <w:pPr>
        <w:rPr>
          <w:sz w:val="22"/>
          <w:szCs w:val="22"/>
        </w:rPr>
      </w:pPr>
      <w:r w:rsidRPr="00A24502">
        <w:rPr>
          <w:sz w:val="22"/>
          <w:szCs w:val="22"/>
        </w:rPr>
        <w:t>It may be helpful to r</w:t>
      </w:r>
      <w:r w:rsidR="00997465" w:rsidRPr="00997465">
        <w:rPr>
          <w:sz w:val="22"/>
          <w:szCs w:val="22"/>
        </w:rPr>
        <w:t xml:space="preserve">aise witness </w:t>
      </w:r>
      <w:proofErr w:type="gramStart"/>
      <w:r w:rsidR="00997465" w:rsidRPr="00997465">
        <w:rPr>
          <w:sz w:val="22"/>
          <w:szCs w:val="22"/>
        </w:rPr>
        <w:t>incompetency</w:t>
      </w:r>
      <w:proofErr w:type="gramEnd"/>
      <w:r w:rsidR="00997465" w:rsidRPr="00997465">
        <w:rPr>
          <w:sz w:val="22"/>
          <w:szCs w:val="22"/>
        </w:rPr>
        <w:t xml:space="preserve"> at the time of the prior statement</w:t>
      </w:r>
      <w:r w:rsidRPr="00A24502">
        <w:rPr>
          <w:sz w:val="22"/>
          <w:szCs w:val="22"/>
        </w:rPr>
        <w:t xml:space="preserve">.  </w:t>
      </w:r>
      <w:r w:rsidR="00997465" w:rsidRPr="00997465">
        <w:rPr>
          <w:sz w:val="22"/>
          <w:szCs w:val="22"/>
        </w:rPr>
        <w:t>Argue that the witness was intoxicated or of unsound mind when the statement was made.</w:t>
      </w:r>
      <w:r w:rsidR="00997465" w:rsidRPr="00A24502">
        <w:rPr>
          <w:sz w:val="22"/>
          <w:szCs w:val="22"/>
        </w:rPr>
        <w:t xml:space="preserve">  </w:t>
      </w:r>
      <w:r w:rsidR="00997465" w:rsidRPr="00997465">
        <w:rPr>
          <w:sz w:val="22"/>
          <w:szCs w:val="22"/>
        </w:rPr>
        <w:t xml:space="preserve">A witness’s competency under Washington law is governed by RCW 5.60.050, which prohibits testimony by individuals who are of unsound mind or intoxicated at the time of their examination, or who cannot accurately perceive and relate events. This standard must also apply when the State seeks to admit prior statements as substantive evidence under ER 801(d)(1) or any hearsay exception. In </w:t>
      </w:r>
      <w:r w:rsidR="00997465" w:rsidRPr="00997465">
        <w:rPr>
          <w:i/>
          <w:iCs/>
          <w:sz w:val="22"/>
          <w:szCs w:val="22"/>
        </w:rPr>
        <w:t>State v. Pethoud</w:t>
      </w:r>
      <w:r w:rsidR="00997465" w:rsidRPr="00997465">
        <w:rPr>
          <w:sz w:val="22"/>
          <w:szCs w:val="22"/>
        </w:rPr>
        <w:t>, 53 Wn.2d 276, 332 P.2d 1092 (1958), the Washington Supreme Court made clear that even an insane person may testify if, at the time they are called as a witness, they understand the nature of an oath and can accurately describe what they have seen or heard. The same principle applies to substitute testimony: when a prior out-of-court statement is offered in lieu of live testimony, the declarant must have been competent at the time the statement was made.</w:t>
      </w:r>
    </w:p>
    <w:p w14:paraId="28D0B2AF" w14:textId="473FB913" w:rsidR="00997465" w:rsidRPr="00A24502" w:rsidRDefault="00997465" w:rsidP="002125BB">
      <w:pPr>
        <w:rPr>
          <w:sz w:val="22"/>
          <w:szCs w:val="22"/>
        </w:rPr>
      </w:pPr>
      <w:r w:rsidRPr="00A24502">
        <w:rPr>
          <w:sz w:val="22"/>
          <w:szCs w:val="22"/>
        </w:rPr>
        <w:t xml:space="preserve">Where the witness </w:t>
      </w:r>
      <w:r w:rsidRPr="00997465">
        <w:rPr>
          <w:sz w:val="22"/>
          <w:szCs w:val="22"/>
        </w:rPr>
        <w:t>has testified under oath that she was intoxicated and mentally impaired when she gave her original statement</w:t>
      </w:r>
      <w:r w:rsidRPr="00A24502">
        <w:rPr>
          <w:sz w:val="22"/>
          <w:szCs w:val="22"/>
        </w:rPr>
        <w:t xml:space="preserve"> t</w:t>
      </w:r>
      <w:r w:rsidRPr="00997465">
        <w:rPr>
          <w:sz w:val="22"/>
          <w:szCs w:val="22"/>
        </w:rPr>
        <w:t xml:space="preserve">his raises a serious question about her competency at the time, and thus the admissibility of her prior statement. If the State cannot prove she was capable of perceiving and truthfully relating events at the time the statement was made, then the statement must be excluded under RCW 5.60.050. Allowing it into evidence would violate not only that statute but </w:t>
      </w:r>
      <w:r w:rsidRPr="00A24502">
        <w:rPr>
          <w:sz w:val="22"/>
          <w:szCs w:val="22"/>
        </w:rPr>
        <w:t xml:space="preserve">the defendant’s </w:t>
      </w:r>
      <w:r w:rsidRPr="00997465">
        <w:rPr>
          <w:sz w:val="22"/>
          <w:szCs w:val="22"/>
        </w:rPr>
        <w:t>constitutional right to confront the witnesses against him, as it would introduce testimonial evidence from a declarant known to have been legally incompetent when the statement was given.</w:t>
      </w:r>
    </w:p>
    <w:p w14:paraId="349F6566" w14:textId="77777777" w:rsidR="001852F0" w:rsidRPr="001852F0" w:rsidRDefault="001852F0" w:rsidP="002125BB">
      <w:pPr>
        <w:rPr>
          <w:sz w:val="22"/>
          <w:szCs w:val="22"/>
        </w:rPr>
      </w:pPr>
      <w:r w:rsidRPr="001852F0">
        <w:rPr>
          <w:sz w:val="22"/>
          <w:szCs w:val="22"/>
        </w:rPr>
        <w:t>As a practicing attorney, especially in criminal defense, it’s important to recognize how medical records reflecting mental illness can serve as a powerful tool for challenging both the credibility and admissibility of an alleged victim’s extrajudicial statements.</w:t>
      </w:r>
    </w:p>
    <w:p w14:paraId="76D81BA7" w14:textId="5C9092E0" w:rsidR="001852F0" w:rsidRPr="001852F0" w:rsidRDefault="001852F0" w:rsidP="002125BB">
      <w:pPr>
        <w:rPr>
          <w:sz w:val="22"/>
          <w:szCs w:val="22"/>
        </w:rPr>
      </w:pPr>
      <w:r w:rsidRPr="001852F0">
        <w:rPr>
          <w:sz w:val="22"/>
          <w:szCs w:val="22"/>
        </w:rPr>
        <w:lastRenderedPageBreak/>
        <w:t xml:space="preserve">If a witness’s medical </w:t>
      </w:r>
      <w:proofErr w:type="gramStart"/>
      <w:r w:rsidRPr="001852F0">
        <w:rPr>
          <w:sz w:val="22"/>
          <w:szCs w:val="22"/>
        </w:rPr>
        <w:t>records—</w:t>
      </w:r>
      <w:proofErr w:type="gramEnd"/>
      <w:r w:rsidRPr="001852F0">
        <w:rPr>
          <w:sz w:val="22"/>
          <w:szCs w:val="22"/>
        </w:rPr>
        <w:t xml:space="preserve">particularly psychiatric or psychological evaluations—demonstrate that they suffered from a serious mental health condition at the time they made the statement, such evidence can be critical </w:t>
      </w:r>
      <w:r w:rsidR="002125BB" w:rsidRPr="00A24502">
        <w:rPr>
          <w:sz w:val="22"/>
          <w:szCs w:val="22"/>
        </w:rPr>
        <w:t>for attacking credibility and assessing reliability and minimal guarantees of truthfulness.</w:t>
      </w:r>
    </w:p>
    <w:p w14:paraId="5BA9BCC5" w14:textId="315F92E3" w:rsidR="001852F0" w:rsidRPr="001852F0" w:rsidRDefault="001852F0" w:rsidP="002125BB">
      <w:pPr>
        <w:rPr>
          <w:sz w:val="22"/>
          <w:szCs w:val="22"/>
        </w:rPr>
      </w:pPr>
      <w:r w:rsidRPr="001852F0">
        <w:rPr>
          <w:sz w:val="22"/>
          <w:szCs w:val="22"/>
        </w:rPr>
        <w:t>If the witness later testifies, their mental illness at the time of the out-of-court statement can form the basis for impeachment. Evidence that the witness was delusional, hallucinating, or otherwise mentally unstable can be used to show that their perception and memory were unreliable, or that their motivations were clouded by paranoia or affective instability.</w:t>
      </w:r>
    </w:p>
    <w:p w14:paraId="4F4F8A97" w14:textId="77777777" w:rsidR="001852F0" w:rsidRPr="00A24502" w:rsidRDefault="001852F0" w:rsidP="001852F0">
      <w:pPr>
        <w:rPr>
          <w:sz w:val="22"/>
          <w:szCs w:val="22"/>
        </w:rPr>
      </w:pPr>
      <w:r w:rsidRPr="001852F0">
        <w:rPr>
          <w:sz w:val="22"/>
          <w:szCs w:val="22"/>
        </w:rPr>
        <w:t>In sum, mental health records are not just mitigation tools or sentencing evidence—they can be central to excluding damaging statements from evidence and reinforcing the constitutional protections against unreliable or untested accusations. They give the defense a legitimate and often underutilized pathway to assert competency-based objections and reinforce the jury’s exclusive role in evaluating truthfulness.</w:t>
      </w:r>
    </w:p>
    <w:p w14:paraId="4D48B33F" w14:textId="77777777" w:rsidR="002C15E3" w:rsidRPr="00A24502" w:rsidRDefault="002C15E3" w:rsidP="001852F0">
      <w:pPr>
        <w:rPr>
          <w:sz w:val="22"/>
          <w:szCs w:val="22"/>
        </w:rPr>
      </w:pPr>
    </w:p>
    <w:p w14:paraId="18280590" w14:textId="77777777" w:rsidR="006A61FA" w:rsidRPr="001852F0" w:rsidRDefault="006A61FA" w:rsidP="001852F0">
      <w:pPr>
        <w:rPr>
          <w:sz w:val="22"/>
          <w:szCs w:val="22"/>
        </w:rPr>
      </w:pPr>
    </w:p>
    <w:p w14:paraId="701EBB92" w14:textId="6FCB69A7" w:rsidR="00773CCE" w:rsidRPr="00A24502" w:rsidRDefault="00773CCE" w:rsidP="00320F7F">
      <w:pPr>
        <w:pStyle w:val="ListParagraph"/>
        <w:numPr>
          <w:ilvl w:val="1"/>
          <w:numId w:val="26"/>
        </w:numPr>
        <w:outlineLvl w:val="1"/>
        <w:rPr>
          <w:b/>
          <w:bCs/>
          <w:sz w:val="22"/>
          <w:szCs w:val="22"/>
        </w:rPr>
      </w:pPr>
      <w:bookmarkStart w:id="17" w:name="_Toc196247735"/>
      <w:r w:rsidRPr="00A24502">
        <w:rPr>
          <w:b/>
          <w:bCs/>
          <w:sz w:val="22"/>
          <w:szCs w:val="22"/>
        </w:rPr>
        <w:t xml:space="preserve">Prohibiting Use of the Alleged Victim for Impeachment-Only Purposes Under </w:t>
      </w:r>
      <w:r w:rsidR="00B92420" w:rsidRPr="00A24502">
        <w:rPr>
          <w:b/>
          <w:bCs/>
          <w:sz w:val="22"/>
          <w:szCs w:val="22"/>
        </w:rPr>
        <w:t xml:space="preserve">ER </w:t>
      </w:r>
      <w:proofErr w:type="gramStart"/>
      <w:r w:rsidR="00B92420" w:rsidRPr="00A24502">
        <w:rPr>
          <w:b/>
          <w:bCs/>
          <w:sz w:val="22"/>
          <w:szCs w:val="22"/>
        </w:rPr>
        <w:t>607</w:t>
      </w:r>
      <w:r w:rsidRPr="00A24502">
        <w:rPr>
          <w:b/>
          <w:bCs/>
          <w:sz w:val="22"/>
          <w:szCs w:val="22"/>
        </w:rPr>
        <w:t xml:space="preserve">,  </w:t>
      </w:r>
      <w:r w:rsidRPr="00A24502">
        <w:rPr>
          <w:b/>
          <w:bCs/>
          <w:i/>
          <w:iCs/>
          <w:sz w:val="22"/>
          <w:szCs w:val="22"/>
        </w:rPr>
        <w:t>State</w:t>
      </w:r>
      <w:proofErr w:type="gramEnd"/>
      <w:r w:rsidRPr="00A24502">
        <w:rPr>
          <w:b/>
          <w:bCs/>
          <w:i/>
          <w:iCs/>
          <w:sz w:val="22"/>
          <w:szCs w:val="22"/>
        </w:rPr>
        <w:t xml:space="preserve"> v. Lavaris</w:t>
      </w:r>
      <w:r w:rsidRPr="00A24502">
        <w:rPr>
          <w:b/>
          <w:bCs/>
          <w:sz w:val="22"/>
          <w:szCs w:val="22"/>
        </w:rPr>
        <w:t xml:space="preserve"> and Related Jurisprudence</w:t>
      </w:r>
      <w:bookmarkEnd w:id="17"/>
    </w:p>
    <w:p w14:paraId="58E70AA1" w14:textId="77777777" w:rsidR="00B92420" w:rsidRPr="00B92420" w:rsidRDefault="00B92420" w:rsidP="00B92420">
      <w:pPr>
        <w:rPr>
          <w:sz w:val="22"/>
          <w:szCs w:val="22"/>
        </w:rPr>
      </w:pPr>
      <w:r w:rsidRPr="00B92420">
        <w:rPr>
          <w:sz w:val="22"/>
          <w:szCs w:val="22"/>
        </w:rPr>
        <w:t xml:space="preserve">In </w:t>
      </w:r>
      <w:r w:rsidRPr="00B92420">
        <w:rPr>
          <w:i/>
          <w:iCs/>
          <w:sz w:val="22"/>
          <w:szCs w:val="22"/>
        </w:rPr>
        <w:t>State v. Lavaris</w:t>
      </w:r>
      <w:r w:rsidRPr="00B92420">
        <w:rPr>
          <w:sz w:val="22"/>
          <w:szCs w:val="22"/>
        </w:rPr>
        <w:t>, 106 Wn.2d 340, 721 P.2d 515 (1986), the Washington Supreme Court addressed the limits on using prior inconsistent statements for impeachment under ER 607 when those statements are otherwise inadmissible as hearsay. The Court made clear that a prior out-of-court statement that does not meet a hearsay exception or an exclusion under ER 801(d)(1) may not be used as a backdoor method to introduce inadmissible evidence under the guise of impeachment.</w:t>
      </w:r>
    </w:p>
    <w:p w14:paraId="328FB967" w14:textId="77777777" w:rsidR="00B92420" w:rsidRPr="00B92420" w:rsidRDefault="00B92420" w:rsidP="00B92420">
      <w:pPr>
        <w:rPr>
          <w:sz w:val="22"/>
          <w:szCs w:val="22"/>
        </w:rPr>
      </w:pPr>
      <w:r w:rsidRPr="00B92420">
        <w:rPr>
          <w:sz w:val="22"/>
          <w:szCs w:val="22"/>
        </w:rPr>
        <w:t xml:space="preserve">In </w:t>
      </w:r>
      <w:r w:rsidRPr="00B92420">
        <w:rPr>
          <w:i/>
          <w:iCs/>
          <w:sz w:val="22"/>
          <w:szCs w:val="22"/>
        </w:rPr>
        <w:t>Lavaris</w:t>
      </w:r>
      <w:r w:rsidRPr="00B92420">
        <w:rPr>
          <w:sz w:val="22"/>
          <w:szCs w:val="22"/>
        </w:rPr>
        <w:t>, the prosecution's key witness had given a prior statement implicating the defendant in a murder but recanted at trial. The State then sought to elicit the prior statement through a police detective to impeach the witness. The Court rejected this tactic, holding that because the prior statement was not made under oath in a formal proceeding, it could not be admitted substantively under ER 801(d)(1)(</w:t>
      </w:r>
      <w:proofErr w:type="spellStart"/>
      <w:r w:rsidRPr="00B92420">
        <w:rPr>
          <w:sz w:val="22"/>
          <w:szCs w:val="22"/>
        </w:rPr>
        <w:t>i</w:t>
      </w:r>
      <w:proofErr w:type="spellEnd"/>
      <w:r w:rsidRPr="00B92420">
        <w:rPr>
          <w:sz w:val="22"/>
          <w:szCs w:val="22"/>
        </w:rPr>
        <w:t>). More importantly, the Court cautioned against permitting impeachment with prior inconsistent statements that are otherwise inadmissible hearsay, warning that doing so could violate the defendant’s confrontation and due process rights.</w:t>
      </w:r>
    </w:p>
    <w:p w14:paraId="4EC86202" w14:textId="77777777" w:rsidR="00B92420" w:rsidRPr="00B92420" w:rsidRDefault="00B92420" w:rsidP="00B92420">
      <w:pPr>
        <w:rPr>
          <w:sz w:val="22"/>
          <w:szCs w:val="22"/>
        </w:rPr>
      </w:pPr>
      <w:r w:rsidRPr="00B92420">
        <w:rPr>
          <w:sz w:val="22"/>
          <w:szCs w:val="22"/>
        </w:rPr>
        <w:t xml:space="preserve">The </w:t>
      </w:r>
      <w:r w:rsidRPr="00B92420">
        <w:rPr>
          <w:i/>
          <w:iCs/>
          <w:sz w:val="22"/>
          <w:szCs w:val="22"/>
        </w:rPr>
        <w:t>Lavaris</w:t>
      </w:r>
      <w:r w:rsidRPr="00B92420">
        <w:rPr>
          <w:sz w:val="22"/>
          <w:szCs w:val="22"/>
        </w:rPr>
        <w:t xml:space="preserve"> Court emphasized that there is a fundamental distinction between using a prior inconsistent statement for impeachment and admitting it for the truth of the matter asserted. While impeachment under ER 607 is generally permitted, it cannot serve as a pretext to present inadmissible hearsay to the jury in a manner that effectively treats it as substantive evidence. This principle acts as a safeguard against prosecutorial misuse of impeachment, especially where the State knows in advance that a witness will recant.</w:t>
      </w:r>
    </w:p>
    <w:p w14:paraId="7864CC67" w14:textId="77777777" w:rsidR="00B92420" w:rsidRPr="00B92420" w:rsidRDefault="00B92420" w:rsidP="00B92420">
      <w:pPr>
        <w:rPr>
          <w:sz w:val="22"/>
          <w:szCs w:val="22"/>
        </w:rPr>
      </w:pPr>
      <w:r w:rsidRPr="00B92420">
        <w:rPr>
          <w:i/>
          <w:iCs/>
          <w:sz w:val="22"/>
          <w:szCs w:val="22"/>
        </w:rPr>
        <w:lastRenderedPageBreak/>
        <w:t>Lavaris</w:t>
      </w:r>
      <w:r w:rsidRPr="00B92420">
        <w:rPr>
          <w:sz w:val="22"/>
          <w:szCs w:val="22"/>
        </w:rPr>
        <w:t xml:space="preserve"> has since been recognized as an important limitation on the use of prior statements in criminal trials. It serves as a warning that courts must </w:t>
      </w:r>
      <w:proofErr w:type="gramStart"/>
      <w:r w:rsidRPr="00B92420">
        <w:rPr>
          <w:sz w:val="22"/>
          <w:szCs w:val="22"/>
        </w:rPr>
        <w:t>carefully scrutinize</w:t>
      </w:r>
      <w:proofErr w:type="gramEnd"/>
      <w:r w:rsidRPr="00B92420">
        <w:rPr>
          <w:sz w:val="22"/>
          <w:szCs w:val="22"/>
        </w:rPr>
        <w:t xml:space="preserve"> whether prior statements are being offered solely for impeachment or improperly </w:t>
      </w:r>
      <w:proofErr w:type="gramStart"/>
      <w:r w:rsidRPr="00B92420">
        <w:rPr>
          <w:sz w:val="22"/>
          <w:szCs w:val="22"/>
        </w:rPr>
        <w:t>to convey</w:t>
      </w:r>
      <w:proofErr w:type="gramEnd"/>
      <w:r w:rsidRPr="00B92420">
        <w:rPr>
          <w:sz w:val="22"/>
          <w:szCs w:val="22"/>
        </w:rPr>
        <w:t xml:space="preserve"> the truth of the statement to the jury. Later cases, including </w:t>
      </w:r>
      <w:r w:rsidRPr="00B92420">
        <w:rPr>
          <w:i/>
          <w:iCs/>
          <w:sz w:val="22"/>
          <w:szCs w:val="22"/>
        </w:rPr>
        <w:t>State v. Smith</w:t>
      </w:r>
      <w:r w:rsidRPr="00B92420">
        <w:rPr>
          <w:sz w:val="22"/>
          <w:szCs w:val="22"/>
        </w:rPr>
        <w:t xml:space="preserve">, 97 Wn.2d 856 (1982), and </w:t>
      </w:r>
      <w:r w:rsidRPr="00B92420">
        <w:rPr>
          <w:i/>
          <w:iCs/>
          <w:sz w:val="22"/>
          <w:szCs w:val="22"/>
        </w:rPr>
        <w:t>State v. Rohrich</w:t>
      </w:r>
      <w:r w:rsidRPr="00B92420">
        <w:rPr>
          <w:sz w:val="22"/>
          <w:szCs w:val="22"/>
        </w:rPr>
        <w:t xml:space="preserve">, 132 Wn.2d 472 (1997), have continued to define the boundaries of hearsay and confrontation clause protections, but </w:t>
      </w:r>
      <w:r w:rsidRPr="00B92420">
        <w:rPr>
          <w:i/>
          <w:iCs/>
          <w:sz w:val="22"/>
          <w:szCs w:val="22"/>
        </w:rPr>
        <w:t>Lavaris</w:t>
      </w:r>
      <w:r w:rsidRPr="00B92420">
        <w:rPr>
          <w:sz w:val="22"/>
          <w:szCs w:val="22"/>
        </w:rPr>
        <w:t xml:space="preserve"> remains a cornerstone decision affirming that impeachment may not be used to circumvent evidentiary rules or constitutional safeguards.</w:t>
      </w:r>
    </w:p>
    <w:p w14:paraId="5E7D58DB" w14:textId="1043E092" w:rsidR="00B92420" w:rsidRPr="00A24502" w:rsidRDefault="00B92420" w:rsidP="007E3580">
      <w:pPr>
        <w:rPr>
          <w:sz w:val="22"/>
          <w:szCs w:val="22"/>
        </w:rPr>
      </w:pPr>
      <w:r w:rsidRPr="00A24502">
        <w:rPr>
          <w:sz w:val="22"/>
          <w:szCs w:val="22"/>
        </w:rPr>
        <w:t xml:space="preserve">There are two main prongs to the Lavaris rule: 1) the prohibition on eliciting testimony for the primary purpose of introducing the prior statement as substantive evidence; and 2) the prohibition on calling the witness for that primary purpose.  The Lavaris court </w:t>
      </w:r>
      <w:proofErr w:type="gramStart"/>
      <w:r w:rsidRPr="00A24502">
        <w:rPr>
          <w:sz w:val="22"/>
          <w:szCs w:val="22"/>
        </w:rPr>
        <w:t>held</w:t>
      </w:r>
      <w:proofErr w:type="gramEnd"/>
      <w:r w:rsidRPr="00A24502">
        <w:rPr>
          <w:sz w:val="22"/>
          <w:szCs w:val="22"/>
        </w:rPr>
        <w:t xml:space="preserve"> as follows:</w:t>
      </w:r>
    </w:p>
    <w:p w14:paraId="15BBCF1E" w14:textId="264DD002" w:rsidR="00B92420" w:rsidRPr="00A24502" w:rsidRDefault="00B92420" w:rsidP="00B92420">
      <w:pPr>
        <w:ind w:left="720"/>
        <w:rPr>
          <w:sz w:val="22"/>
          <w:szCs w:val="22"/>
        </w:rPr>
      </w:pPr>
      <w:r w:rsidRPr="00A24502">
        <w:rPr>
          <w:b/>
          <w:bCs/>
          <w:sz w:val="22"/>
          <w:szCs w:val="22"/>
        </w:rPr>
        <w:t>“’[T]</w:t>
      </w:r>
      <w:r w:rsidRPr="00A24502">
        <w:rPr>
          <w:b/>
          <w:bCs/>
          <w:sz w:val="22"/>
          <w:szCs w:val="22"/>
        </w:rPr>
        <w:t>he prosecutor may not use such a statement under the guise of impeachment for the primary purpose of placing before the jury substantive evidence which is not otherwise admissible.' "</w:t>
      </w:r>
      <w:r w:rsidRPr="00A24502">
        <w:rPr>
          <w:sz w:val="22"/>
          <w:szCs w:val="22"/>
        </w:rPr>
        <w:t xml:space="preserve"> United States v. Hogan, 763 F.2d 697, 702 (5th Cir.1985) (quoting United States v. Miller, 664 F.2d 94, 97 (5th Cir.1981), cert. denied, 459 U.S. 854, 103 </w:t>
      </w:r>
      <w:proofErr w:type="spellStart"/>
      <w:r w:rsidRPr="00A24502">
        <w:rPr>
          <w:sz w:val="22"/>
          <w:szCs w:val="22"/>
        </w:rPr>
        <w:t>S.Ct</w:t>
      </w:r>
      <w:proofErr w:type="spellEnd"/>
      <w:r w:rsidRPr="00A24502">
        <w:rPr>
          <w:sz w:val="22"/>
          <w:szCs w:val="22"/>
        </w:rPr>
        <w:t xml:space="preserve">. 121, 74 L.Ed.2d 106 (1982)). In United States v. Webster, 734 F.2d 1191, 1192 (7th Cir.1984), the court articulated the rationale behind this well-established </w:t>
      </w:r>
      <w:proofErr w:type="gramStart"/>
      <w:r w:rsidRPr="00A24502">
        <w:rPr>
          <w:sz w:val="22"/>
          <w:szCs w:val="22"/>
        </w:rPr>
        <w:t>rule:[</w:t>
      </w:r>
      <w:proofErr w:type="gramEnd"/>
      <w:r w:rsidRPr="00A24502">
        <w:rPr>
          <w:sz w:val="22"/>
          <w:szCs w:val="22"/>
        </w:rPr>
        <w:t>I]t would be an abuse of the rule [</w:t>
      </w:r>
      <w:proofErr w:type="spellStart"/>
      <w:proofErr w:type="gramStart"/>
      <w:r w:rsidRPr="00A24502">
        <w:rPr>
          <w:sz w:val="22"/>
          <w:szCs w:val="22"/>
        </w:rPr>
        <w:t>Fed.R.Evid</w:t>
      </w:r>
      <w:proofErr w:type="spellEnd"/>
      <w:proofErr w:type="gramEnd"/>
      <w:r w:rsidRPr="00A24502">
        <w:rPr>
          <w:sz w:val="22"/>
          <w:szCs w:val="22"/>
        </w:rPr>
        <w:t>. 607], in a criminal case, for the prosecution to call a witness that it knew would not give it useful evidence, just so it could introduce hearsay evidence against the defendant in the hope that the jury would miss the subtle distinction</w:t>
      </w:r>
      <w:r w:rsidRPr="00A24502">
        <w:rPr>
          <w:sz w:val="22"/>
          <w:szCs w:val="22"/>
        </w:rPr>
        <w:t xml:space="preserve"> </w:t>
      </w:r>
      <w:r w:rsidRPr="00A24502">
        <w:rPr>
          <w:sz w:val="22"/>
          <w:szCs w:val="22"/>
        </w:rPr>
        <w:t xml:space="preserve">between impeachment and substantive evidence--or, if it didn't miss it, </w:t>
      </w:r>
      <w:proofErr w:type="gramStart"/>
      <w:r w:rsidRPr="00A24502">
        <w:rPr>
          <w:sz w:val="22"/>
          <w:szCs w:val="22"/>
        </w:rPr>
        <w:t>would  ignore</w:t>
      </w:r>
      <w:proofErr w:type="gramEnd"/>
      <w:r w:rsidRPr="00A24502">
        <w:rPr>
          <w:sz w:val="22"/>
          <w:szCs w:val="22"/>
        </w:rPr>
        <w:t xml:space="preserve"> it. The purpose would not be to impeach the witness but to put in hearsay as substantive evidence against the defendant, which Rule 607 does not contemplate or authorize.... Every circuit to consider this question has ruled similarly. See, e.g., United States v. Webster, supra; United </w:t>
      </w:r>
      <w:proofErr w:type="spellStart"/>
      <w:r w:rsidRPr="00A24502">
        <w:rPr>
          <w:sz w:val="22"/>
          <w:szCs w:val="22"/>
        </w:rPr>
        <w:t>i</w:t>
      </w:r>
      <w:proofErr w:type="spellEnd"/>
      <w:r w:rsidRPr="00A24502">
        <w:rPr>
          <w:sz w:val="22"/>
          <w:szCs w:val="22"/>
        </w:rPr>
        <w:t xml:space="preserve"> States v. Fay, 668 F.2d 375, 379 (8th Cir.1981); United States v. DeLillo, 620 F.2d 939, 946 (2d Cir.), cert. denied, 449 U.S. 835, 101 </w:t>
      </w:r>
      <w:proofErr w:type="spellStart"/>
      <w:r w:rsidRPr="00A24502">
        <w:rPr>
          <w:sz w:val="22"/>
          <w:szCs w:val="22"/>
        </w:rPr>
        <w:t>S.Ct</w:t>
      </w:r>
      <w:proofErr w:type="spellEnd"/>
      <w:r w:rsidRPr="00A24502">
        <w:rPr>
          <w:sz w:val="22"/>
          <w:szCs w:val="22"/>
        </w:rPr>
        <w:t xml:space="preserve">. 107, 66 L.Ed.2d 41 (1980); United States v. Morlang, supra at 190; United States v. Coppola, 479 F.2d 1153, 1156-58 (10th Cir.1973); United States v. Michener, 152 F.2d 880, 883 n. 3 (3d Cir.1945); Kuhn v. United States, 24 F.2d 910, 913 (9th Cir.), cert. denied, 278 U.S. 605, 49 </w:t>
      </w:r>
      <w:proofErr w:type="spellStart"/>
      <w:r w:rsidRPr="00A24502">
        <w:rPr>
          <w:sz w:val="22"/>
          <w:szCs w:val="22"/>
        </w:rPr>
        <w:t>S.Ct</w:t>
      </w:r>
      <w:proofErr w:type="spellEnd"/>
      <w:r w:rsidRPr="00A24502">
        <w:rPr>
          <w:sz w:val="22"/>
          <w:szCs w:val="22"/>
        </w:rPr>
        <w:t xml:space="preserve">. 11, 73 </w:t>
      </w:r>
      <w:proofErr w:type="spellStart"/>
      <w:r w:rsidRPr="00A24502">
        <w:rPr>
          <w:sz w:val="22"/>
          <w:szCs w:val="22"/>
        </w:rPr>
        <w:t>L.Ed</w:t>
      </w:r>
      <w:proofErr w:type="spellEnd"/>
      <w:r w:rsidRPr="00A24502">
        <w:rPr>
          <w:sz w:val="22"/>
          <w:szCs w:val="22"/>
        </w:rPr>
        <w:t xml:space="preserve">. 533 (1928). In Washington, the Court of Appeals has likewise agreed with the federal case law cited above. In State v. Barber, 38 </w:t>
      </w:r>
      <w:proofErr w:type="spellStart"/>
      <w:r w:rsidRPr="00A24502">
        <w:rPr>
          <w:sz w:val="22"/>
          <w:szCs w:val="22"/>
        </w:rPr>
        <w:t>Wash.App</w:t>
      </w:r>
      <w:proofErr w:type="spellEnd"/>
      <w:r w:rsidRPr="00A24502">
        <w:rPr>
          <w:sz w:val="22"/>
          <w:szCs w:val="22"/>
        </w:rPr>
        <w:t xml:space="preserve">. 758, 689 P.2d 1099 (1984), review denied, 103 Wash.2d 1013 (1985), the court stated: </w:t>
      </w:r>
      <w:r w:rsidRPr="00A24502">
        <w:rPr>
          <w:b/>
          <w:bCs/>
          <w:sz w:val="22"/>
          <w:szCs w:val="22"/>
        </w:rPr>
        <w:t xml:space="preserve">Although the State may impeach its own witness, it may not call a witness for the primary purpose of eliciting testimony </w:t>
      </w:r>
      <w:proofErr w:type="gramStart"/>
      <w:r w:rsidRPr="00A24502">
        <w:rPr>
          <w:b/>
          <w:bCs/>
          <w:sz w:val="22"/>
          <w:szCs w:val="22"/>
        </w:rPr>
        <w:t>in order to</w:t>
      </w:r>
      <w:proofErr w:type="gramEnd"/>
      <w:r w:rsidRPr="00A24502">
        <w:rPr>
          <w:b/>
          <w:bCs/>
          <w:sz w:val="22"/>
          <w:szCs w:val="22"/>
        </w:rPr>
        <w:t xml:space="preserve"> impeach the witness with testimony that would be otherwise inadmissible.</w:t>
      </w:r>
      <w:r w:rsidRPr="00A24502">
        <w:rPr>
          <w:sz w:val="22"/>
          <w:szCs w:val="22"/>
        </w:rPr>
        <w:t xml:space="preserve"> United States v. Miller, 664 F.2d 94, 97 (5th Cir.1981); United States v. DeLillo, 620 F.2d 939, 946 (2d Cir.), cert. denied, 449 U.S. 835 [101 </w:t>
      </w:r>
      <w:proofErr w:type="spellStart"/>
      <w:r w:rsidRPr="00A24502">
        <w:rPr>
          <w:sz w:val="22"/>
          <w:szCs w:val="22"/>
        </w:rPr>
        <w:t>S.Ct</w:t>
      </w:r>
      <w:proofErr w:type="spellEnd"/>
      <w:r w:rsidRPr="00A24502">
        <w:rPr>
          <w:sz w:val="22"/>
          <w:szCs w:val="22"/>
        </w:rPr>
        <w:t>. 107, 66 L.Ed.2d 41] (1980).</w:t>
      </w:r>
    </w:p>
    <w:p w14:paraId="45E1343A" w14:textId="77777777" w:rsidR="00B92420" w:rsidRPr="00A24502" w:rsidRDefault="00B92420" w:rsidP="007E3580">
      <w:pPr>
        <w:rPr>
          <w:sz w:val="22"/>
          <w:szCs w:val="22"/>
        </w:rPr>
      </w:pPr>
      <w:r w:rsidRPr="00A24502">
        <w:rPr>
          <w:sz w:val="22"/>
          <w:szCs w:val="22"/>
        </w:rPr>
        <w:t>106 Wn.2d 340, 721 P.2d 515</w:t>
      </w:r>
      <w:r w:rsidRPr="00A24502">
        <w:rPr>
          <w:sz w:val="22"/>
          <w:szCs w:val="22"/>
        </w:rPr>
        <w:t xml:space="preserve">.  Unfortunately, </w:t>
      </w:r>
      <w:r w:rsidR="007E3580" w:rsidRPr="007E3580">
        <w:rPr>
          <w:sz w:val="22"/>
          <w:szCs w:val="22"/>
        </w:rPr>
        <w:t xml:space="preserve">Washington courts </w:t>
      </w:r>
      <w:r w:rsidRPr="00A24502">
        <w:rPr>
          <w:sz w:val="22"/>
          <w:szCs w:val="22"/>
        </w:rPr>
        <w:t xml:space="preserve">sometimes lose the first </w:t>
      </w:r>
      <w:r w:rsidR="007E3580" w:rsidRPr="007E3580">
        <w:rPr>
          <w:sz w:val="22"/>
          <w:szCs w:val="22"/>
        </w:rPr>
        <w:t xml:space="preserve">prohibition on eliciting testimony for the primary purpose of introducing the statements as substantive evidence. </w:t>
      </w:r>
      <w:r w:rsidRPr="00A24502">
        <w:rPr>
          <w:sz w:val="22"/>
          <w:szCs w:val="22"/>
        </w:rPr>
        <w:t xml:space="preserve">Prosecutors will often emphasize the prohibition </w:t>
      </w:r>
      <w:proofErr w:type="gramStart"/>
      <w:r w:rsidRPr="00A24502">
        <w:rPr>
          <w:sz w:val="22"/>
          <w:szCs w:val="22"/>
        </w:rPr>
        <w:t>on</w:t>
      </w:r>
      <w:proofErr w:type="gramEnd"/>
      <w:r w:rsidRPr="00A24502">
        <w:rPr>
          <w:sz w:val="22"/>
          <w:szCs w:val="22"/>
        </w:rPr>
        <w:t xml:space="preserve"> calling a witness for the primary purpose of eliciting testimony </w:t>
      </w:r>
      <w:proofErr w:type="gramStart"/>
      <w:r w:rsidRPr="00A24502">
        <w:rPr>
          <w:sz w:val="22"/>
          <w:szCs w:val="22"/>
        </w:rPr>
        <w:t>in order to</w:t>
      </w:r>
      <w:proofErr w:type="gramEnd"/>
      <w:r w:rsidRPr="00A24502">
        <w:rPr>
          <w:sz w:val="22"/>
          <w:szCs w:val="22"/>
        </w:rPr>
        <w:t xml:space="preserve"> impeach the witness.  </w:t>
      </w:r>
      <w:r w:rsidR="007E3580" w:rsidRPr="007E3580">
        <w:rPr>
          <w:sz w:val="22"/>
          <w:szCs w:val="22"/>
        </w:rPr>
        <w:t xml:space="preserve">Many courts focus narrowly </w:t>
      </w:r>
      <w:r w:rsidR="007E3580" w:rsidRPr="007E3580">
        <w:rPr>
          <w:sz w:val="22"/>
          <w:szCs w:val="22"/>
        </w:rPr>
        <w:lastRenderedPageBreak/>
        <w:t xml:space="preserve">on whether the prosecution called the witness for “the primary purpose of admitting impeachment evidence that was otherwise inadmissible.” </w:t>
      </w:r>
    </w:p>
    <w:p w14:paraId="25B275D5" w14:textId="570DC23B" w:rsidR="007E3580" w:rsidRPr="00A24502" w:rsidRDefault="00B92420" w:rsidP="007E3580">
      <w:pPr>
        <w:rPr>
          <w:sz w:val="22"/>
          <w:szCs w:val="22"/>
        </w:rPr>
      </w:pPr>
      <w:r w:rsidRPr="00A24502">
        <w:rPr>
          <w:sz w:val="22"/>
          <w:szCs w:val="22"/>
        </w:rPr>
        <w:t xml:space="preserve">But Lavaris reiterates </w:t>
      </w:r>
      <w:r w:rsidR="007E3580" w:rsidRPr="007E3580">
        <w:rPr>
          <w:sz w:val="22"/>
          <w:szCs w:val="22"/>
        </w:rPr>
        <w:t xml:space="preserve">the federal jurisprudence reflecting this same analysis extends the prohibition to </w:t>
      </w:r>
      <w:r w:rsidR="007E3580" w:rsidRPr="007E3580">
        <w:rPr>
          <w:i/>
          <w:iCs/>
          <w:sz w:val="22"/>
          <w:szCs w:val="22"/>
        </w:rPr>
        <w:t>eliciting</w:t>
      </w:r>
      <w:r w:rsidR="007E3580" w:rsidRPr="007E3580">
        <w:rPr>
          <w:sz w:val="22"/>
          <w:szCs w:val="22"/>
        </w:rPr>
        <w:t xml:space="preserve"> testimony. For example, in </w:t>
      </w:r>
      <w:r w:rsidR="007E3580" w:rsidRPr="007E3580">
        <w:rPr>
          <w:i/>
          <w:iCs/>
          <w:sz w:val="22"/>
          <w:szCs w:val="22"/>
        </w:rPr>
        <w:t>United States v. Hogan</w:t>
      </w:r>
      <w:r w:rsidR="007E3580" w:rsidRPr="007E3580">
        <w:rPr>
          <w:sz w:val="22"/>
          <w:szCs w:val="22"/>
        </w:rPr>
        <w:t>, 763 F.2d 697 (5th Cir. 1985), the court emphasized that it is improper for the government to place a witness on the stand knowing that they will not offer favorable testimony, simply to introduce the witness’s prior inconsistent statement through impeachment.</w:t>
      </w:r>
    </w:p>
    <w:p w14:paraId="6AABBC38" w14:textId="77777777" w:rsidR="007E3580" w:rsidRPr="007E3580" w:rsidRDefault="007E3580" w:rsidP="007E3580">
      <w:pPr>
        <w:rPr>
          <w:sz w:val="22"/>
          <w:szCs w:val="22"/>
        </w:rPr>
      </w:pPr>
      <w:r w:rsidRPr="007E3580">
        <w:rPr>
          <w:sz w:val="22"/>
          <w:szCs w:val="22"/>
        </w:rPr>
        <w:t xml:space="preserve">In </w:t>
      </w:r>
      <w:r w:rsidRPr="007E3580">
        <w:rPr>
          <w:i/>
          <w:iCs/>
          <w:sz w:val="22"/>
          <w:szCs w:val="22"/>
        </w:rPr>
        <w:t>Webster</w:t>
      </w:r>
      <w:r w:rsidRPr="007E3580">
        <w:rPr>
          <w:sz w:val="22"/>
          <w:szCs w:val="22"/>
        </w:rPr>
        <w:t>, the Seventh Circuit held that it is improper for the government to call a witness</w:t>
      </w:r>
      <w:proofErr w:type="gramStart"/>
      <w:r w:rsidRPr="007E3580">
        <w:rPr>
          <w:sz w:val="22"/>
          <w:szCs w:val="22"/>
        </w:rPr>
        <w:t xml:space="preserve"> it</w:t>
      </w:r>
      <w:proofErr w:type="gramEnd"/>
      <w:r w:rsidRPr="007E3580">
        <w:rPr>
          <w:sz w:val="22"/>
          <w:szCs w:val="22"/>
        </w:rPr>
        <w:t xml:space="preserve"> </w:t>
      </w:r>
      <w:proofErr w:type="gramStart"/>
      <w:r w:rsidRPr="007E3580">
        <w:rPr>
          <w:sz w:val="22"/>
          <w:szCs w:val="22"/>
        </w:rPr>
        <w:t>knows</w:t>
      </w:r>
      <w:proofErr w:type="gramEnd"/>
      <w:r w:rsidRPr="007E3580">
        <w:rPr>
          <w:sz w:val="22"/>
          <w:szCs w:val="22"/>
        </w:rPr>
        <w:t xml:space="preserve"> will not offer favorable testimony solely to get otherwise inadmissible hearsay before the jury through impeachment. The court emphasized that such a tactic abuses the rules of evidence and subverts the hearsay prohibition.</w:t>
      </w:r>
      <w:r w:rsidRPr="00A24502">
        <w:rPr>
          <w:sz w:val="22"/>
          <w:szCs w:val="22"/>
        </w:rPr>
        <w:t xml:space="preserve"> </w:t>
      </w:r>
      <w:r w:rsidRPr="007E3580">
        <w:rPr>
          <w:sz w:val="22"/>
          <w:szCs w:val="22"/>
        </w:rPr>
        <w:t>United States v. Webster, 734 F.2d 1191 (7th Cir. 1984)</w:t>
      </w:r>
    </w:p>
    <w:p w14:paraId="4A5F31E9" w14:textId="77777777" w:rsidR="007E3580" w:rsidRPr="007E3580" w:rsidRDefault="007E3580" w:rsidP="007E3580">
      <w:pPr>
        <w:rPr>
          <w:sz w:val="22"/>
          <w:szCs w:val="22"/>
        </w:rPr>
      </w:pPr>
      <w:r w:rsidRPr="007E3580">
        <w:rPr>
          <w:sz w:val="22"/>
          <w:szCs w:val="22"/>
        </w:rPr>
        <w:t xml:space="preserve">Prosecutors may attempt to justify this approach by claiming that the witness is being called to provide context or to describe relevant surrounding circumstances, such as the setting of a conversation, their relationship </w:t>
      </w:r>
      <w:proofErr w:type="gramStart"/>
      <w:r w:rsidRPr="007E3580">
        <w:rPr>
          <w:sz w:val="22"/>
          <w:szCs w:val="22"/>
        </w:rPr>
        <w:t>to</w:t>
      </w:r>
      <w:proofErr w:type="gramEnd"/>
      <w:r w:rsidRPr="007E3580">
        <w:rPr>
          <w:sz w:val="22"/>
          <w:szCs w:val="22"/>
        </w:rPr>
        <w:t xml:space="preserve"> the defendant, or events leading up to a crime. However, if the witness no longer affirms the original incriminating </w:t>
      </w:r>
      <w:proofErr w:type="gramStart"/>
      <w:r w:rsidRPr="007E3580">
        <w:rPr>
          <w:sz w:val="22"/>
          <w:szCs w:val="22"/>
        </w:rPr>
        <w:t>statements—</w:t>
      </w:r>
      <w:proofErr w:type="gramEnd"/>
      <w:r w:rsidRPr="007E3580">
        <w:rPr>
          <w:sz w:val="22"/>
          <w:szCs w:val="22"/>
        </w:rPr>
        <w:t xml:space="preserve">either because they have changed their story, recanted, or feigned a lack of </w:t>
      </w:r>
      <w:proofErr w:type="gramStart"/>
      <w:r w:rsidRPr="007E3580">
        <w:rPr>
          <w:sz w:val="22"/>
          <w:szCs w:val="22"/>
        </w:rPr>
        <w:t>memory—</w:t>
      </w:r>
      <w:proofErr w:type="gramEnd"/>
      <w:r w:rsidRPr="007E3580">
        <w:rPr>
          <w:sz w:val="22"/>
          <w:szCs w:val="22"/>
        </w:rPr>
        <w:t>the actual evidentiary value of their live testimony is often negligible. In such cases, if the prosecution proceeds to impeach the witness with their prior statements, the primary purpose of calling the witness is functionally to get those earlier statements before the jury. This remains true even if a superficial justification is offered about establishing the narrative context.</w:t>
      </w:r>
    </w:p>
    <w:p w14:paraId="410AA710" w14:textId="77777777" w:rsidR="007E3580" w:rsidRPr="007E3580" w:rsidRDefault="007E3580" w:rsidP="007E3580">
      <w:pPr>
        <w:rPr>
          <w:sz w:val="22"/>
          <w:szCs w:val="22"/>
        </w:rPr>
      </w:pPr>
      <w:r w:rsidRPr="007E3580">
        <w:rPr>
          <w:sz w:val="22"/>
          <w:szCs w:val="22"/>
        </w:rPr>
        <w:t xml:space="preserve">Under </w:t>
      </w:r>
      <w:r w:rsidRPr="007E3580">
        <w:rPr>
          <w:i/>
          <w:iCs/>
          <w:sz w:val="22"/>
          <w:szCs w:val="22"/>
        </w:rPr>
        <w:t>Lavaris</w:t>
      </w:r>
      <w:r w:rsidRPr="007E3580">
        <w:rPr>
          <w:sz w:val="22"/>
          <w:szCs w:val="22"/>
        </w:rPr>
        <w:t xml:space="preserve"> and its progeny, as well as federal cases like </w:t>
      </w:r>
      <w:r w:rsidRPr="007E3580">
        <w:rPr>
          <w:i/>
          <w:iCs/>
          <w:sz w:val="22"/>
          <w:szCs w:val="22"/>
        </w:rPr>
        <w:t>Hogan</w:t>
      </w:r>
      <w:r w:rsidRPr="007E3580">
        <w:rPr>
          <w:sz w:val="22"/>
          <w:szCs w:val="22"/>
        </w:rPr>
        <w:t xml:space="preserve"> and </w:t>
      </w:r>
      <w:r w:rsidRPr="007E3580">
        <w:rPr>
          <w:i/>
          <w:iCs/>
          <w:sz w:val="22"/>
          <w:szCs w:val="22"/>
        </w:rPr>
        <w:t>Webster</w:t>
      </w:r>
      <w:r w:rsidRPr="007E3580">
        <w:rPr>
          <w:sz w:val="22"/>
          <w:szCs w:val="22"/>
        </w:rPr>
        <w:t xml:space="preserve">, the law is clear: impeachment cannot be used as a subterfuge to place inadmissible hearsay before the jury. If the prosecutor's strategy depends not on the substance of the witness's in-court testimony, but rather on reintroducing their prior out-of-court statements—which are no longer </w:t>
      </w:r>
      <w:proofErr w:type="gramStart"/>
      <w:r w:rsidRPr="007E3580">
        <w:rPr>
          <w:sz w:val="22"/>
          <w:szCs w:val="22"/>
        </w:rPr>
        <w:t>affirmed—</w:t>
      </w:r>
      <w:proofErr w:type="gramEnd"/>
      <w:r w:rsidRPr="007E3580">
        <w:rPr>
          <w:sz w:val="22"/>
          <w:szCs w:val="22"/>
        </w:rPr>
        <w:t>then the use of impeachment becomes a vehicle for backdoor substantive evidence. This practice undermines both the hearsay rules and the defendant’s confrontation rights, and courts must be vigilant in enforcing the underlying evidentiary principles, not just the formal label of “impeachment.”</w:t>
      </w:r>
    </w:p>
    <w:p w14:paraId="6C61AFE5" w14:textId="77777777" w:rsidR="008E14EE" w:rsidRPr="008E14EE" w:rsidRDefault="008E14EE" w:rsidP="008E14EE">
      <w:pPr>
        <w:rPr>
          <w:sz w:val="22"/>
          <w:szCs w:val="22"/>
        </w:rPr>
      </w:pPr>
      <w:r w:rsidRPr="008E14EE">
        <w:rPr>
          <w:sz w:val="22"/>
          <w:szCs w:val="22"/>
        </w:rPr>
        <w:t xml:space="preserve">In </w:t>
      </w:r>
      <w:r w:rsidRPr="008E14EE">
        <w:rPr>
          <w:i/>
          <w:iCs/>
          <w:sz w:val="22"/>
          <w:szCs w:val="22"/>
        </w:rPr>
        <w:t>State v. Lavaris</w:t>
      </w:r>
      <w:r w:rsidRPr="008E14EE">
        <w:rPr>
          <w:sz w:val="22"/>
          <w:szCs w:val="22"/>
        </w:rPr>
        <w:t xml:space="preserve">, 106 Wn.2d 340, 721 P.2d 515 (Wash. 1986), the Washington Supreme Court held that a prosecutor may not use a prior inconsistent statement under the guise of impeachment for the primary purpose of introducing substantive evidence that is otherwise inadmissible. The court analyzed ER 607, which permits a party to attack the credibility of its own </w:t>
      </w:r>
      <w:proofErr w:type="gramStart"/>
      <w:r w:rsidRPr="008E14EE">
        <w:rPr>
          <w:sz w:val="22"/>
          <w:szCs w:val="22"/>
        </w:rPr>
        <w:t>witness, and</w:t>
      </w:r>
      <w:proofErr w:type="gramEnd"/>
      <w:r w:rsidRPr="008E14EE">
        <w:rPr>
          <w:sz w:val="22"/>
          <w:szCs w:val="22"/>
        </w:rPr>
        <w:t xml:space="preserve"> relied on federal case law such as </w:t>
      </w:r>
      <w:r w:rsidRPr="008E14EE">
        <w:rPr>
          <w:i/>
          <w:iCs/>
          <w:sz w:val="22"/>
          <w:szCs w:val="22"/>
        </w:rPr>
        <w:t>United States v. Hogan</w:t>
      </w:r>
      <w:r w:rsidRPr="008E14EE">
        <w:rPr>
          <w:sz w:val="22"/>
          <w:szCs w:val="22"/>
        </w:rPr>
        <w:t xml:space="preserve"> and </w:t>
      </w:r>
      <w:r w:rsidRPr="008E14EE">
        <w:rPr>
          <w:i/>
          <w:iCs/>
          <w:sz w:val="22"/>
          <w:szCs w:val="22"/>
        </w:rPr>
        <w:t>United States v. Webster</w:t>
      </w:r>
      <w:r w:rsidRPr="008E14EE">
        <w:rPr>
          <w:sz w:val="22"/>
          <w:szCs w:val="22"/>
        </w:rPr>
        <w:t>, both of which prohibit calling a witness solely to introduce hearsay. Ultimately, the court upheld Lavaris’s conviction, finding that the State did not call the witness primarily to impeach him with inadmissible testimony but to offer relevant, corroborative evidence.</w:t>
      </w:r>
    </w:p>
    <w:p w14:paraId="7AA5E331" w14:textId="77777777" w:rsidR="008E14EE" w:rsidRPr="008E14EE" w:rsidRDefault="008E14EE" w:rsidP="008E14EE">
      <w:pPr>
        <w:rPr>
          <w:sz w:val="22"/>
          <w:szCs w:val="22"/>
        </w:rPr>
      </w:pPr>
      <w:r w:rsidRPr="008E14EE">
        <w:rPr>
          <w:sz w:val="22"/>
          <w:szCs w:val="22"/>
        </w:rPr>
        <w:t xml:space="preserve">In </w:t>
      </w:r>
      <w:r w:rsidRPr="008E14EE">
        <w:rPr>
          <w:i/>
          <w:iCs/>
          <w:sz w:val="22"/>
          <w:szCs w:val="22"/>
        </w:rPr>
        <w:t>State v. Hancock</w:t>
      </w:r>
      <w:r w:rsidRPr="008E14EE">
        <w:rPr>
          <w:sz w:val="22"/>
          <w:szCs w:val="22"/>
        </w:rPr>
        <w:t xml:space="preserve">, 109 Wn.2d 760, 748 P.2d 611 (Wash. 1988), the court addressed similar concerns and reaffirmed the principle from </w:t>
      </w:r>
      <w:r w:rsidRPr="008E14EE">
        <w:rPr>
          <w:i/>
          <w:iCs/>
          <w:sz w:val="22"/>
          <w:szCs w:val="22"/>
        </w:rPr>
        <w:t>Lavaris</w:t>
      </w:r>
      <w:r w:rsidRPr="008E14EE">
        <w:rPr>
          <w:sz w:val="22"/>
          <w:szCs w:val="22"/>
        </w:rPr>
        <w:t xml:space="preserve"> that ER 607 does not allow a party to call a </w:t>
      </w:r>
      <w:r w:rsidRPr="008E14EE">
        <w:rPr>
          <w:sz w:val="22"/>
          <w:szCs w:val="22"/>
        </w:rPr>
        <w:lastRenderedPageBreak/>
        <w:t>witness solely to introduce inadmissible hearsay under the pretext of impeachment. The court concluded that the witness’s testimony was probative and admissible and that the State had not called her for the primary purpose of impeachment. Accordingly, the court affirmed Hancock’s conviction, ruling that the impeachment was proper and the gun ownership evidence was not erroneously admitted.</w:t>
      </w:r>
    </w:p>
    <w:p w14:paraId="4909CA82" w14:textId="77777777" w:rsidR="008E14EE" w:rsidRPr="008E14EE" w:rsidRDefault="008E14EE" w:rsidP="008E14EE">
      <w:pPr>
        <w:rPr>
          <w:sz w:val="22"/>
          <w:szCs w:val="22"/>
        </w:rPr>
      </w:pPr>
      <w:r w:rsidRPr="008E14EE">
        <w:rPr>
          <w:sz w:val="22"/>
          <w:szCs w:val="22"/>
        </w:rPr>
        <w:t xml:space="preserve">In </w:t>
      </w:r>
      <w:r w:rsidRPr="008E14EE">
        <w:rPr>
          <w:i/>
          <w:iCs/>
          <w:sz w:val="22"/>
          <w:szCs w:val="22"/>
        </w:rPr>
        <w:t>State v. Allen S.</w:t>
      </w:r>
      <w:r w:rsidRPr="008E14EE">
        <w:rPr>
          <w:sz w:val="22"/>
          <w:szCs w:val="22"/>
        </w:rPr>
        <w:t xml:space="preserve">, 98 </w:t>
      </w:r>
      <w:proofErr w:type="spellStart"/>
      <w:r w:rsidRPr="008E14EE">
        <w:rPr>
          <w:sz w:val="22"/>
          <w:szCs w:val="22"/>
        </w:rPr>
        <w:t>Wn</w:t>
      </w:r>
      <w:proofErr w:type="spellEnd"/>
      <w:r w:rsidRPr="008E14EE">
        <w:rPr>
          <w:sz w:val="22"/>
          <w:szCs w:val="22"/>
        </w:rPr>
        <w:t xml:space="preserve">. App. 452, 989 P.2d 1222 (Wash. App. 1999), the court considered the admissibility of a jail inmate’s out-of-court statements used to impeach his trial testimony when he claimed to recall nothing of consequence. Relying on </w:t>
      </w:r>
      <w:r w:rsidRPr="008E14EE">
        <w:rPr>
          <w:i/>
          <w:iCs/>
          <w:sz w:val="22"/>
          <w:szCs w:val="22"/>
        </w:rPr>
        <w:t>Lavaris</w:t>
      </w:r>
      <w:r w:rsidRPr="008E14EE">
        <w:rPr>
          <w:sz w:val="22"/>
          <w:szCs w:val="22"/>
        </w:rPr>
        <w:t>, the court emphasized that impeachment is improper if the witness provides no substantive testimony. Because the witness professed a complete lack of memory and offered no testimony of evidentiary value, the court held that there was no legitimate basis for impeachment and reversed the conviction.</w:t>
      </w:r>
    </w:p>
    <w:p w14:paraId="17AAB2DF" w14:textId="77777777" w:rsidR="008E14EE" w:rsidRPr="008E14EE" w:rsidRDefault="008E14EE" w:rsidP="008E14EE">
      <w:pPr>
        <w:rPr>
          <w:sz w:val="22"/>
          <w:szCs w:val="22"/>
        </w:rPr>
      </w:pPr>
      <w:r w:rsidRPr="008E14EE">
        <w:rPr>
          <w:sz w:val="22"/>
          <w:szCs w:val="22"/>
        </w:rPr>
        <w:t xml:space="preserve">In </w:t>
      </w:r>
      <w:r w:rsidRPr="008E14EE">
        <w:rPr>
          <w:i/>
          <w:iCs/>
          <w:sz w:val="22"/>
          <w:szCs w:val="22"/>
        </w:rPr>
        <w:t>State v. Sanchez-Balbuena</w:t>
      </w:r>
      <w:r w:rsidRPr="008E14EE">
        <w:rPr>
          <w:sz w:val="22"/>
          <w:szCs w:val="22"/>
        </w:rPr>
        <w:t xml:space="preserve">, 147 </w:t>
      </w:r>
      <w:proofErr w:type="spellStart"/>
      <w:r w:rsidRPr="008E14EE">
        <w:rPr>
          <w:sz w:val="22"/>
          <w:szCs w:val="22"/>
        </w:rPr>
        <w:t>Wn</w:t>
      </w:r>
      <w:proofErr w:type="spellEnd"/>
      <w:r w:rsidRPr="008E14EE">
        <w:rPr>
          <w:sz w:val="22"/>
          <w:szCs w:val="22"/>
        </w:rPr>
        <w:t xml:space="preserve">. App. 833 (Wash. App. 2015), the court examined the admissibility of impeachment testimony offered after a rebuttal witness could not recall details from her prior statement. The court reaffirmed the rule in </w:t>
      </w:r>
      <w:r w:rsidRPr="008E14EE">
        <w:rPr>
          <w:i/>
          <w:iCs/>
          <w:sz w:val="22"/>
          <w:szCs w:val="22"/>
        </w:rPr>
        <w:t>Lavaris</w:t>
      </w:r>
      <w:r w:rsidRPr="008E14EE">
        <w:rPr>
          <w:sz w:val="22"/>
          <w:szCs w:val="22"/>
        </w:rPr>
        <w:t xml:space="preserve"> and </w:t>
      </w:r>
      <w:r w:rsidRPr="008E14EE">
        <w:rPr>
          <w:i/>
          <w:iCs/>
          <w:sz w:val="22"/>
          <w:szCs w:val="22"/>
        </w:rPr>
        <w:t>Hancock</w:t>
      </w:r>
      <w:r w:rsidRPr="008E14EE">
        <w:rPr>
          <w:sz w:val="22"/>
          <w:szCs w:val="22"/>
        </w:rPr>
        <w:t xml:space="preserve"> that a party may not call a witness merely to introduce inadmissible hearsay through impeachment. However, the court concluded that the State’s purpose in calling the witness was to rebut alibi evidence and not primarily </w:t>
      </w:r>
      <w:proofErr w:type="gramStart"/>
      <w:r w:rsidRPr="008E14EE">
        <w:rPr>
          <w:sz w:val="22"/>
          <w:szCs w:val="22"/>
        </w:rPr>
        <w:t>to impeach</w:t>
      </w:r>
      <w:proofErr w:type="gramEnd"/>
      <w:r w:rsidRPr="008E14EE">
        <w:rPr>
          <w:sz w:val="22"/>
          <w:szCs w:val="22"/>
        </w:rPr>
        <w:t xml:space="preserve"> her, thereby affirming the trial court’s admission of the testimony and upholding the conviction.</w:t>
      </w:r>
    </w:p>
    <w:p w14:paraId="0A9CE018" w14:textId="77777777" w:rsidR="008E14EE" w:rsidRPr="008E14EE" w:rsidRDefault="008E14EE" w:rsidP="008E14EE">
      <w:pPr>
        <w:rPr>
          <w:sz w:val="22"/>
          <w:szCs w:val="22"/>
        </w:rPr>
      </w:pPr>
      <w:r w:rsidRPr="008E14EE">
        <w:rPr>
          <w:sz w:val="22"/>
          <w:szCs w:val="22"/>
        </w:rPr>
        <w:t xml:space="preserve">In </w:t>
      </w:r>
      <w:r w:rsidRPr="008E14EE">
        <w:rPr>
          <w:i/>
          <w:iCs/>
          <w:sz w:val="22"/>
          <w:szCs w:val="22"/>
        </w:rPr>
        <w:t>State v. Howard</w:t>
      </w:r>
      <w:r w:rsidRPr="008E14EE">
        <w:rPr>
          <w:sz w:val="22"/>
          <w:szCs w:val="22"/>
        </w:rPr>
        <w:t xml:space="preserve">, 127 </w:t>
      </w:r>
      <w:proofErr w:type="spellStart"/>
      <w:r w:rsidRPr="008E14EE">
        <w:rPr>
          <w:sz w:val="22"/>
          <w:szCs w:val="22"/>
        </w:rPr>
        <w:t>Wn</w:t>
      </w:r>
      <w:proofErr w:type="spellEnd"/>
      <w:r w:rsidRPr="008E14EE">
        <w:rPr>
          <w:sz w:val="22"/>
          <w:szCs w:val="22"/>
        </w:rPr>
        <w:t xml:space="preserve">. App. 862, 113 P.3d 511 (Wash. App. 2005), the court addressed the exclusion of "other suspect" evidence and the attempted impeachment of a witness with prior testimony. Applying </w:t>
      </w:r>
      <w:r w:rsidRPr="008E14EE">
        <w:rPr>
          <w:i/>
          <w:iCs/>
          <w:sz w:val="22"/>
          <w:szCs w:val="22"/>
        </w:rPr>
        <w:t>Lavaris</w:t>
      </w:r>
      <w:r w:rsidRPr="008E14EE">
        <w:rPr>
          <w:sz w:val="22"/>
          <w:szCs w:val="22"/>
        </w:rPr>
        <w:t>, the court reiterated that parties may not use impeachment as a pretext to admit otherwise inadmissible evidence. The court concluded that there was insufficient connection between the other suspect and the crime, and that the impeachment attempt was properly excluded, affirming the conviction and the trial court’s exercise of discretion.</w:t>
      </w:r>
    </w:p>
    <w:p w14:paraId="2FFF2DA6" w14:textId="57D497F8" w:rsidR="008E14EE" w:rsidRPr="00A24502" w:rsidRDefault="007E3580" w:rsidP="002712F9">
      <w:pPr>
        <w:rPr>
          <w:sz w:val="22"/>
          <w:szCs w:val="22"/>
        </w:rPr>
      </w:pPr>
      <w:r w:rsidRPr="00A24502">
        <w:rPr>
          <w:sz w:val="22"/>
          <w:szCs w:val="22"/>
        </w:rPr>
        <w:t>State v. Fichtner, No. 79967-3-I (Wash. Ct. App. Feb. 8, 2021) (unpublished)</w:t>
      </w:r>
      <w:r w:rsidRPr="00A24502">
        <w:rPr>
          <w:sz w:val="22"/>
          <w:szCs w:val="22"/>
        </w:rPr>
        <w:t xml:space="preserve"> (</w:t>
      </w:r>
      <w:r w:rsidR="008E14EE" w:rsidRPr="00A24502">
        <w:rPr>
          <w:sz w:val="22"/>
          <w:szCs w:val="22"/>
        </w:rPr>
        <w:t>The record does not support the claim that the primary purpose of Wachs's testimony was to allow the State to elicit otherwise inadmissible testimony about the 2016 assault.</w:t>
      </w:r>
      <w:r w:rsidRPr="00A24502">
        <w:rPr>
          <w:sz w:val="22"/>
          <w:szCs w:val="22"/>
        </w:rPr>
        <w:t>)</w:t>
      </w:r>
    </w:p>
    <w:p w14:paraId="536942FA" w14:textId="77777777" w:rsidR="00240606" w:rsidRPr="00A24502" w:rsidRDefault="00240606" w:rsidP="002712F9">
      <w:pPr>
        <w:rPr>
          <w:sz w:val="22"/>
          <w:szCs w:val="22"/>
        </w:rPr>
      </w:pPr>
    </w:p>
    <w:p w14:paraId="705740B7" w14:textId="77777777" w:rsidR="00240606" w:rsidRPr="00A24502" w:rsidRDefault="00240606" w:rsidP="00240606">
      <w:pPr>
        <w:rPr>
          <w:sz w:val="22"/>
          <w:szCs w:val="22"/>
        </w:rPr>
      </w:pPr>
      <w:r w:rsidRPr="00A24502">
        <w:rPr>
          <w:sz w:val="22"/>
          <w:szCs w:val="22"/>
        </w:rPr>
        <w:t>Certainly. Here’s a version of the argument tailored for presentation to a CLE audience of attorneys, with a focus on clarity, practice implications, and statutory context:</w:t>
      </w:r>
    </w:p>
    <w:p w14:paraId="5E5A91EF" w14:textId="77777777" w:rsidR="00240606" w:rsidRPr="00A24502" w:rsidRDefault="00240606" w:rsidP="00240606">
      <w:pPr>
        <w:rPr>
          <w:sz w:val="22"/>
          <w:szCs w:val="22"/>
        </w:rPr>
      </w:pPr>
    </w:p>
    <w:p w14:paraId="539D5590" w14:textId="77777777" w:rsidR="00240606" w:rsidRPr="00A24502" w:rsidRDefault="00240606" w:rsidP="00240606">
      <w:pPr>
        <w:rPr>
          <w:sz w:val="22"/>
          <w:szCs w:val="22"/>
        </w:rPr>
      </w:pPr>
      <w:r w:rsidRPr="00A24502">
        <w:rPr>
          <w:sz w:val="22"/>
          <w:szCs w:val="22"/>
        </w:rPr>
        <w:t>---</w:t>
      </w:r>
    </w:p>
    <w:p w14:paraId="55E86A0D" w14:textId="77777777" w:rsidR="00240606" w:rsidRPr="00A24502" w:rsidRDefault="00240606" w:rsidP="00240606">
      <w:pPr>
        <w:rPr>
          <w:sz w:val="22"/>
          <w:szCs w:val="22"/>
        </w:rPr>
      </w:pPr>
    </w:p>
    <w:p w14:paraId="50394E69" w14:textId="6CD6C52E" w:rsidR="00240606" w:rsidRPr="00A24502" w:rsidRDefault="00240606" w:rsidP="00240606">
      <w:pPr>
        <w:pStyle w:val="Heading2"/>
        <w:numPr>
          <w:ilvl w:val="1"/>
          <w:numId w:val="26"/>
        </w:numPr>
        <w:rPr>
          <w:b/>
          <w:bCs/>
          <w:color w:val="auto"/>
          <w:sz w:val="22"/>
          <w:szCs w:val="22"/>
        </w:rPr>
      </w:pPr>
      <w:r w:rsidRPr="00A24502">
        <w:rPr>
          <w:b/>
          <w:bCs/>
          <w:color w:val="auto"/>
          <w:sz w:val="22"/>
          <w:szCs w:val="22"/>
        </w:rPr>
        <w:lastRenderedPageBreak/>
        <w:t>Challenging Competency Under RCW 5.60.050: When Prior Statements Are Functionally Testimony</w:t>
      </w:r>
    </w:p>
    <w:p w14:paraId="4181FC3E" w14:textId="77777777" w:rsidR="00240606" w:rsidRPr="00A24502" w:rsidRDefault="00240606" w:rsidP="00240606">
      <w:pPr>
        <w:rPr>
          <w:sz w:val="22"/>
          <w:szCs w:val="22"/>
        </w:rPr>
      </w:pPr>
    </w:p>
    <w:p w14:paraId="32B6B828" w14:textId="77777777" w:rsidR="00240606" w:rsidRPr="00A24502" w:rsidRDefault="00240606" w:rsidP="00240606">
      <w:pPr>
        <w:rPr>
          <w:sz w:val="22"/>
          <w:szCs w:val="22"/>
        </w:rPr>
      </w:pPr>
      <w:r w:rsidRPr="00A24502">
        <w:rPr>
          <w:sz w:val="22"/>
          <w:szCs w:val="22"/>
        </w:rPr>
        <w:t>Under Washington law, RCW 5.60.050 bars the admission of testimony from individuals who are of unsound mind or intoxicated at the time they are produced for examination, or who appear incapable of forming just impressions or relating facts truthfully. This statute is typically applied to live, in-court testimony—but it has important implications for extrajudicial statements offered as substantive evidence.</w:t>
      </w:r>
    </w:p>
    <w:p w14:paraId="3A77B386" w14:textId="77777777" w:rsidR="00240606" w:rsidRPr="00A24502" w:rsidRDefault="00240606" w:rsidP="00240606">
      <w:pPr>
        <w:rPr>
          <w:sz w:val="22"/>
          <w:szCs w:val="22"/>
        </w:rPr>
      </w:pPr>
      <w:r w:rsidRPr="00A24502">
        <w:rPr>
          <w:sz w:val="22"/>
          <w:szCs w:val="22"/>
        </w:rPr>
        <w:t>Take note: if the State seeks to introduce a prior statement under ER 801(d)(1)(</w:t>
      </w:r>
      <w:proofErr w:type="spellStart"/>
      <w:r w:rsidRPr="00A24502">
        <w:rPr>
          <w:sz w:val="22"/>
          <w:szCs w:val="22"/>
        </w:rPr>
        <w:t>i</w:t>
      </w:r>
      <w:proofErr w:type="spellEnd"/>
      <w:r w:rsidRPr="00A24502">
        <w:rPr>
          <w:sz w:val="22"/>
          <w:szCs w:val="22"/>
        </w:rPr>
        <w:t xml:space="preserve">) or any hearsay exception, and the declarant was intoxicated, mentally unstable, or otherwise cognitively impaired at the time the statement was made, the defense should challenge the statement's admissibility under RCW 5.60.050. The key argument is this: once the State offers that statement for its truth—as a substitute for live testimony—the competency of the </w:t>
      </w:r>
      <w:proofErr w:type="gramStart"/>
      <w:r w:rsidRPr="00A24502">
        <w:rPr>
          <w:sz w:val="22"/>
          <w:szCs w:val="22"/>
        </w:rPr>
        <w:t>declarant</w:t>
      </w:r>
      <w:proofErr w:type="gramEnd"/>
      <w:r w:rsidRPr="00A24502">
        <w:rPr>
          <w:sz w:val="22"/>
          <w:szCs w:val="22"/>
        </w:rPr>
        <w:t xml:space="preserve"> at the time the statement was made becomes just as critical as if they were taking the stand.</w:t>
      </w:r>
    </w:p>
    <w:p w14:paraId="2BE73400" w14:textId="7B0DBF30" w:rsidR="00240606" w:rsidRPr="00A24502" w:rsidRDefault="00240606" w:rsidP="00240606">
      <w:pPr>
        <w:rPr>
          <w:sz w:val="22"/>
          <w:szCs w:val="22"/>
        </w:rPr>
      </w:pPr>
      <w:r w:rsidRPr="00A24502">
        <w:rPr>
          <w:sz w:val="22"/>
          <w:szCs w:val="22"/>
        </w:rPr>
        <w:t xml:space="preserve">This is not speculative. The Washington Supreme Court has long held that even individuals suffering from mental illness may testify—but only if, at the time of their examination, they </w:t>
      </w:r>
      <w:proofErr w:type="gramStart"/>
      <w:r w:rsidRPr="00A24502">
        <w:rPr>
          <w:sz w:val="22"/>
          <w:szCs w:val="22"/>
        </w:rPr>
        <w:t>are capable of understanding</w:t>
      </w:r>
      <w:proofErr w:type="gramEnd"/>
      <w:r w:rsidRPr="00A24502">
        <w:rPr>
          <w:sz w:val="22"/>
          <w:szCs w:val="22"/>
        </w:rPr>
        <w:t xml:space="preserve"> the oath and accurately recounting what they perceived. See *State v. Pethoud*, 53 Wn.2d 276, 332 P.2d 1092 (1958). The same principle should apply when a prior statement is offered in place of live testimony. If the declarant lacked mental clarity, sobriety, or capacity to understand and recount events at the time of the statement, the statement is not competent evidence.</w:t>
      </w:r>
      <w:r w:rsidR="00A24502" w:rsidRPr="00A24502">
        <w:rPr>
          <w:sz w:val="22"/>
          <w:szCs w:val="22"/>
        </w:rPr>
        <w:t xml:space="preserve">  </w:t>
      </w:r>
      <w:r w:rsidR="00A24502" w:rsidRPr="00A24502">
        <w:rPr>
          <w:rFonts w:cs="Times"/>
          <w:sz w:val="22"/>
          <w:szCs w:val="22"/>
        </w:rPr>
        <w:t xml:space="preserve">“If the declarant was not competent at the time of making the statements, the statements may not be introduced through hearsay repetition.” </w:t>
      </w:r>
      <w:r w:rsidR="00A24502" w:rsidRPr="00A24502">
        <w:rPr>
          <w:rFonts w:cs="Times"/>
          <w:i/>
          <w:iCs/>
          <w:sz w:val="22"/>
          <w:szCs w:val="22"/>
        </w:rPr>
        <w:t>State v. Ryan</w:t>
      </w:r>
      <w:r w:rsidR="00A24502" w:rsidRPr="00A24502">
        <w:rPr>
          <w:rFonts w:cs="Times"/>
          <w:sz w:val="22"/>
          <w:szCs w:val="22"/>
        </w:rPr>
        <w:t>, 103 Wn.2d 165, 691 P.2d 197 (1984) (citing 5 J. Wigmore, at 304).</w:t>
      </w:r>
    </w:p>
    <w:p w14:paraId="453AA341" w14:textId="4BB4E164" w:rsidR="00240606" w:rsidRPr="00A24502" w:rsidRDefault="00240606" w:rsidP="00240606">
      <w:pPr>
        <w:rPr>
          <w:sz w:val="22"/>
          <w:szCs w:val="22"/>
        </w:rPr>
      </w:pPr>
      <w:r w:rsidRPr="00A24502">
        <w:rPr>
          <w:sz w:val="22"/>
          <w:szCs w:val="22"/>
        </w:rPr>
        <w:t xml:space="preserve">For defense practitioners, this means gathering records and testimony—mental health evaluations, medical reports, and even recantation affidavits—to show that the declarant was of unsound mind or intoxicated when they made the prior statement. This type of challenge goes directly to the legal admissibility of the statement and should be raised pretrial, with a motion in </w:t>
      </w:r>
      <w:proofErr w:type="spellStart"/>
      <w:r w:rsidRPr="00A24502">
        <w:rPr>
          <w:sz w:val="22"/>
          <w:szCs w:val="22"/>
        </w:rPr>
        <w:t>limine</w:t>
      </w:r>
      <w:proofErr w:type="spellEnd"/>
      <w:r w:rsidRPr="00A24502">
        <w:rPr>
          <w:sz w:val="22"/>
          <w:szCs w:val="22"/>
        </w:rPr>
        <w:t xml:space="preserve"> or evidentiary hearing under RCW 5.60.050.</w:t>
      </w:r>
    </w:p>
    <w:sectPr w:rsidR="00240606" w:rsidRPr="00A2450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A7AD" w14:textId="77777777" w:rsidR="00A42682" w:rsidRDefault="00A42682" w:rsidP="00C645CA">
      <w:pPr>
        <w:spacing w:after="0" w:line="240" w:lineRule="auto"/>
      </w:pPr>
      <w:r>
        <w:separator/>
      </w:r>
    </w:p>
  </w:endnote>
  <w:endnote w:type="continuationSeparator" w:id="0">
    <w:p w14:paraId="2C050ECB" w14:textId="77777777" w:rsidR="00A42682" w:rsidRDefault="00A42682" w:rsidP="00C645CA">
      <w:pPr>
        <w:spacing w:after="0" w:line="240" w:lineRule="auto"/>
      </w:pPr>
      <w:r>
        <w:continuationSeparator/>
      </w:r>
    </w:p>
  </w:endnote>
  <w:endnote w:id="1">
    <w:p w14:paraId="3C4F69E6" w14:textId="77777777" w:rsidR="005504D0" w:rsidRPr="005504D0" w:rsidRDefault="005504D0" w:rsidP="005504D0">
      <w:pPr>
        <w:pStyle w:val="EndnoteText"/>
      </w:pPr>
      <w:r>
        <w:rPr>
          <w:rStyle w:val="EndnoteReference"/>
        </w:rPr>
        <w:endnoteRef/>
      </w:r>
      <w:r>
        <w:t xml:space="preserve"> </w:t>
      </w:r>
      <w:r w:rsidRPr="005504D0">
        <w:rPr>
          <w:i/>
          <w:iCs/>
        </w:rPr>
        <w:t>Crawford v. Washington</w:t>
      </w:r>
      <w:r w:rsidRPr="005504D0">
        <w:t>, 541 U.S. 36 (2004), significantly impacts how state court rules characterizing extrajudicial statements as "non-hearsay" are applied. Although state evidence rules like Washington’s ER 801(d) specifically classify certain out-of-court statements as not hearsay—and therefore admissible without the necessity of applying hearsay exceptions—</w:t>
      </w:r>
      <w:r w:rsidRPr="005504D0">
        <w:rPr>
          <w:i/>
          <w:iCs/>
        </w:rPr>
        <w:t>Crawford</w:t>
      </w:r>
      <w:r w:rsidRPr="005504D0">
        <w:t xml:space="preserve"> introduces an important constitutional overlay that must always be considered.</w:t>
      </w:r>
    </w:p>
    <w:p w14:paraId="4D9E817C" w14:textId="77777777" w:rsidR="005504D0" w:rsidRPr="005504D0" w:rsidRDefault="005504D0" w:rsidP="005504D0">
      <w:pPr>
        <w:pStyle w:val="EndnoteText"/>
      </w:pPr>
      <w:r w:rsidRPr="005504D0">
        <w:rPr>
          <w:i/>
          <w:iCs/>
        </w:rPr>
        <w:t>Crawford</w:t>
      </w:r>
      <w:r w:rsidRPr="005504D0">
        <w:t xml:space="preserve"> clarified that the Sixth Amendment’s Confrontation Clause prohibits the introduction of </w:t>
      </w:r>
      <w:r w:rsidRPr="005504D0">
        <w:rPr>
          <w:b/>
          <w:bCs/>
        </w:rPr>
        <w:t>testimonial statements</w:t>
      </w:r>
      <w:r w:rsidRPr="005504D0">
        <w:t xml:space="preserve"> made by an unavailable witness unless the defendant had a prior opportunity to cross-examine that witness. The constitutional inquiry under </w:t>
      </w:r>
      <w:r w:rsidRPr="005504D0">
        <w:rPr>
          <w:i/>
          <w:iCs/>
        </w:rPr>
        <w:t>Crawford</w:t>
      </w:r>
      <w:r w:rsidRPr="005504D0">
        <w:t xml:space="preserve"> is distinct from the evidentiary inquiry under hearsay rules. Thus, even if a state court rule, such as ER 801(d), categorizes a statement as non-hearsay—making it admissible under state evidentiary standards—it may nonetheless be excluded on constitutional grounds if it is </w:t>
      </w:r>
      <w:proofErr w:type="gramStart"/>
      <w:r w:rsidRPr="005504D0">
        <w:t>testimonial</w:t>
      </w:r>
      <w:proofErr w:type="gramEnd"/>
      <w:r w:rsidRPr="005504D0">
        <w:t xml:space="preserve"> and the declarant does not testify.</w:t>
      </w:r>
    </w:p>
    <w:p w14:paraId="54DA3F39" w14:textId="77777777" w:rsidR="005504D0" w:rsidRPr="005504D0" w:rsidRDefault="005504D0" w:rsidP="005504D0">
      <w:pPr>
        <w:pStyle w:val="EndnoteText"/>
      </w:pPr>
      <w:r w:rsidRPr="005504D0">
        <w:t>For example, state court rules often classify certain statements as non-hearsay, including prior inconsistent statements made under oath (ER 801(d)(1)(</w:t>
      </w:r>
      <w:proofErr w:type="spellStart"/>
      <w:r w:rsidRPr="005504D0">
        <w:t>i</w:t>
      </w:r>
      <w:proofErr w:type="spellEnd"/>
      <w:r w:rsidRPr="005504D0">
        <w:t xml:space="preserve">)) or statements of identification (ER 801(d)(1)(iii)). Before </w:t>
      </w:r>
      <w:r w:rsidRPr="005504D0">
        <w:rPr>
          <w:i/>
          <w:iCs/>
        </w:rPr>
        <w:t>Crawford</w:t>
      </w:r>
      <w:r w:rsidRPr="005504D0">
        <w:t>, the analysis of admissibility for such statements was limited primarily to the rules of evidence. However, post-</w:t>
      </w:r>
      <w:r w:rsidRPr="005504D0">
        <w:rPr>
          <w:i/>
          <w:iCs/>
        </w:rPr>
        <w:t>Crawford</w:t>
      </w:r>
      <w:r w:rsidRPr="005504D0">
        <w:t>, courts must also determine whether these statements are "testimonial," a category including statements made during police interrogations, preliminary hearings, or prior sworn testimony.</w:t>
      </w:r>
    </w:p>
    <w:p w14:paraId="1051F67C" w14:textId="768A7956" w:rsidR="005504D0" w:rsidRDefault="005504D0">
      <w:pPr>
        <w:pStyle w:val="EndnoteText"/>
      </w:pPr>
      <w:r w:rsidRPr="005504D0">
        <w:t xml:space="preserve">If a statement classified as non-hearsay under state rules is testimonial and the witness is unavailable, the Confrontation Clause analysis under </w:t>
      </w:r>
      <w:r w:rsidRPr="005504D0">
        <w:rPr>
          <w:i/>
          <w:iCs/>
        </w:rPr>
        <w:t>Crawford</w:t>
      </w:r>
      <w:r w:rsidRPr="005504D0">
        <w:t xml:space="preserve"> becomes crucial. Unless the defendant had a prior meaningful opportunity to cross-examine the declarant, the statement cannot constitutionally be admitted, notwithstanding the state's evidentiary rules. In short, </w:t>
      </w:r>
      <w:r w:rsidRPr="005504D0">
        <w:rPr>
          <w:i/>
          <w:iCs/>
        </w:rPr>
        <w:t>Crawford</w:t>
      </w:r>
      <w:r w:rsidRPr="005504D0">
        <w:t xml:space="preserve"> provides defendants an additional layer of constitutional protection that operates independently of state evidentiary frameworks, and state courts must always consider the Confrontation Clause implications when admitting extrajudicial statements—even those formally categorized as non-hearsay.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E38E" w14:textId="77777777" w:rsidR="00C645CA" w:rsidRPr="00C645CA" w:rsidRDefault="00C645CA" w:rsidP="00C645CA">
    <w:pPr>
      <w:pStyle w:val="Footer"/>
      <w:rPr>
        <w:sz w:val="18"/>
        <w:szCs w:val="18"/>
      </w:rPr>
    </w:pPr>
  </w:p>
  <w:p w14:paraId="79490D59" w14:textId="5419260C" w:rsidR="00C645CA" w:rsidRPr="00C645CA" w:rsidRDefault="001852F0" w:rsidP="00C645CA">
    <w:pPr>
      <w:pStyle w:val="Footer"/>
      <w:rPr>
        <w:sz w:val="18"/>
        <w:szCs w:val="18"/>
      </w:rPr>
    </w:pPr>
    <w:r>
      <w:rPr>
        <w:sz w:val="18"/>
        <w:szCs w:val="18"/>
      </w:rPr>
      <w:t>EXTRAJUDICIAL STATEMENTS:</w:t>
    </w:r>
    <w:r w:rsidR="00C645CA" w:rsidRPr="00C645CA">
      <w:rPr>
        <w:sz w:val="18"/>
        <w:szCs w:val="18"/>
      </w:rPr>
      <w:t xml:space="preserve"> LAVARIS, SMITH AND MANIC CONFUSION </w:t>
    </w:r>
    <w:sdt>
      <w:sdtPr>
        <w:rPr>
          <w:sz w:val="18"/>
          <w:szCs w:val="18"/>
        </w:rPr>
        <w:id w:val="-1705238520"/>
        <w:docPartObj>
          <w:docPartGallery w:val="Page Numbers (Top of Page)"/>
          <w:docPartUnique/>
        </w:docPartObj>
      </w:sdtPr>
      <w:sdtContent>
        <w:r w:rsidR="00C645CA" w:rsidRPr="00C645CA">
          <w:rPr>
            <w:sz w:val="18"/>
            <w:szCs w:val="18"/>
          </w:rPr>
          <w:tab/>
        </w:r>
        <w:r w:rsidR="00C645CA" w:rsidRPr="00C645CA">
          <w:rPr>
            <w:sz w:val="18"/>
            <w:szCs w:val="18"/>
          </w:rPr>
          <w:t xml:space="preserve">Page </w:t>
        </w:r>
        <w:r w:rsidR="00C645CA" w:rsidRPr="00C645CA">
          <w:rPr>
            <w:b/>
            <w:bCs/>
            <w:sz w:val="18"/>
            <w:szCs w:val="18"/>
          </w:rPr>
          <w:fldChar w:fldCharType="begin"/>
        </w:r>
        <w:r w:rsidR="00C645CA" w:rsidRPr="00C645CA">
          <w:rPr>
            <w:b/>
            <w:bCs/>
            <w:sz w:val="18"/>
            <w:szCs w:val="18"/>
          </w:rPr>
          <w:instrText xml:space="preserve"> PAGE </w:instrText>
        </w:r>
        <w:r w:rsidR="00C645CA" w:rsidRPr="00C645CA">
          <w:rPr>
            <w:b/>
            <w:bCs/>
            <w:sz w:val="18"/>
            <w:szCs w:val="18"/>
          </w:rPr>
          <w:fldChar w:fldCharType="separate"/>
        </w:r>
        <w:r w:rsidR="00C645CA" w:rsidRPr="00C645CA">
          <w:rPr>
            <w:b/>
            <w:bCs/>
            <w:sz w:val="18"/>
            <w:szCs w:val="18"/>
          </w:rPr>
          <w:t>1</w:t>
        </w:r>
        <w:r w:rsidR="00C645CA" w:rsidRPr="00C645CA">
          <w:rPr>
            <w:b/>
            <w:bCs/>
            <w:sz w:val="18"/>
            <w:szCs w:val="18"/>
          </w:rPr>
          <w:fldChar w:fldCharType="end"/>
        </w:r>
        <w:r w:rsidR="00C645CA" w:rsidRPr="00C645CA">
          <w:rPr>
            <w:sz w:val="18"/>
            <w:szCs w:val="18"/>
          </w:rPr>
          <w:t xml:space="preserve"> of </w:t>
        </w:r>
        <w:r w:rsidR="00C645CA" w:rsidRPr="00C645CA">
          <w:rPr>
            <w:b/>
            <w:bCs/>
            <w:sz w:val="18"/>
            <w:szCs w:val="18"/>
          </w:rPr>
          <w:fldChar w:fldCharType="begin"/>
        </w:r>
        <w:r w:rsidR="00C645CA" w:rsidRPr="00C645CA">
          <w:rPr>
            <w:b/>
            <w:bCs/>
            <w:sz w:val="18"/>
            <w:szCs w:val="18"/>
          </w:rPr>
          <w:instrText xml:space="preserve"> NUMPAGES  </w:instrText>
        </w:r>
        <w:r w:rsidR="00C645CA" w:rsidRPr="00C645CA">
          <w:rPr>
            <w:b/>
            <w:bCs/>
            <w:sz w:val="18"/>
            <w:szCs w:val="18"/>
          </w:rPr>
          <w:fldChar w:fldCharType="separate"/>
        </w:r>
        <w:r w:rsidR="00C645CA" w:rsidRPr="00C645CA">
          <w:rPr>
            <w:b/>
            <w:bCs/>
            <w:sz w:val="18"/>
            <w:szCs w:val="18"/>
          </w:rPr>
          <w:t>5</w:t>
        </w:r>
        <w:r w:rsidR="00C645CA" w:rsidRPr="00C645CA">
          <w:rPr>
            <w:b/>
            <w:bCs/>
            <w:sz w:val="18"/>
            <w:szCs w:val="18"/>
          </w:rPr>
          <w:fldChar w:fldCharType="end"/>
        </w:r>
      </w:sdtContent>
    </w:sdt>
  </w:p>
  <w:p w14:paraId="0291F623" w14:textId="77777777" w:rsidR="00C645CA" w:rsidRPr="00C645CA" w:rsidRDefault="00C645CA" w:rsidP="00C645CA">
    <w:pPr>
      <w:pStyle w:val="Footer"/>
      <w:rPr>
        <w:sz w:val="18"/>
        <w:szCs w:val="18"/>
      </w:rPr>
    </w:pPr>
    <w:r w:rsidRPr="00C645CA">
      <w:rPr>
        <w:sz w:val="18"/>
        <w:szCs w:val="18"/>
      </w:rPr>
      <w:t>WDA CONFERENCE, WINTHROP WA 2025 – presented by N. Dalton</w:t>
    </w:r>
  </w:p>
  <w:p w14:paraId="1F26FCBA" w14:textId="75E0EEC4" w:rsidR="00C645CA" w:rsidRPr="00C645CA" w:rsidRDefault="00C645CA">
    <w:pPr>
      <w:pStyle w:val="Footer"/>
      <w:rPr>
        <w:sz w:val="18"/>
        <w:szCs w:val="18"/>
      </w:rPr>
    </w:pPr>
  </w:p>
  <w:p w14:paraId="756990A4" w14:textId="0D4B5C77" w:rsidR="00C645CA" w:rsidRPr="00C645CA" w:rsidRDefault="00C645C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E42E9" w14:textId="77777777" w:rsidR="00A42682" w:rsidRDefault="00A42682" w:rsidP="00C645CA">
      <w:pPr>
        <w:spacing w:after="0" w:line="240" w:lineRule="auto"/>
      </w:pPr>
      <w:r>
        <w:separator/>
      </w:r>
    </w:p>
  </w:footnote>
  <w:footnote w:type="continuationSeparator" w:id="0">
    <w:p w14:paraId="6957B320" w14:textId="77777777" w:rsidR="00A42682" w:rsidRDefault="00A42682" w:rsidP="00C645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23F"/>
    <w:multiLevelType w:val="multilevel"/>
    <w:tmpl w:val="3ECA236A"/>
    <w:lvl w:ilvl="0">
      <w:start w:val="1"/>
      <w:numFmt w:val="upperLetter"/>
      <w:lvlText w:val="%1."/>
      <w:lvlJc w:val="left"/>
      <w:pPr>
        <w:tabs>
          <w:tab w:val="num" w:pos="360"/>
        </w:tabs>
        <w:ind w:left="360" w:hanging="360"/>
      </w:pPr>
      <w:rPr>
        <w:rFonts w:hint="default"/>
        <w:sz w:val="20"/>
      </w:rPr>
    </w:lvl>
    <w:lvl w:ilvl="1">
      <w:start w:val="1"/>
      <w:numFmt w:val="upperLetter"/>
      <w:lvlText w:val="%2."/>
      <w:lvlJc w:val="left"/>
      <w:pPr>
        <w:ind w:left="1080" w:hanging="360"/>
      </w:pPr>
    </w:lvl>
    <w:lvl w:ilvl="2">
      <w:start w:val="1"/>
      <w:numFmt w:val="upperLetter"/>
      <w:lvlText w:val="%3."/>
      <w:lvlJc w:val="left"/>
      <w:pPr>
        <w:ind w:left="1800" w:hanging="360"/>
      </w:p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AC725E4"/>
    <w:multiLevelType w:val="multilevel"/>
    <w:tmpl w:val="9F2A9E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67572B"/>
    <w:multiLevelType w:val="multilevel"/>
    <w:tmpl w:val="C06697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B2AC2"/>
    <w:multiLevelType w:val="hybridMultilevel"/>
    <w:tmpl w:val="265630BE"/>
    <w:lvl w:ilvl="0" w:tplc="3E582096">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160E8E"/>
    <w:multiLevelType w:val="multilevel"/>
    <w:tmpl w:val="8378FCFC"/>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color w:val="auto"/>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193F31AE"/>
    <w:multiLevelType w:val="hybridMultilevel"/>
    <w:tmpl w:val="F910A468"/>
    <w:lvl w:ilvl="0" w:tplc="EC003A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8233C6"/>
    <w:multiLevelType w:val="hybridMultilevel"/>
    <w:tmpl w:val="32E61F80"/>
    <w:lvl w:ilvl="0" w:tplc="DA72D1FC">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00ADA"/>
    <w:multiLevelType w:val="hybridMultilevel"/>
    <w:tmpl w:val="A936F494"/>
    <w:lvl w:ilvl="0" w:tplc="E5D0DFD6">
      <w:start w:val="2904"/>
      <w:numFmt w:val="bullet"/>
      <w:lvlText w:val="-"/>
      <w:lvlJc w:val="left"/>
      <w:pPr>
        <w:ind w:left="405" w:hanging="360"/>
      </w:pPr>
      <w:rPr>
        <w:rFonts w:ascii="Aptos" w:eastAsiaTheme="minorHAnsi" w:hAnsi="Apto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15:restartNumberingAfterBreak="0">
    <w:nsid w:val="2CCF2F12"/>
    <w:multiLevelType w:val="hybridMultilevel"/>
    <w:tmpl w:val="58807B56"/>
    <w:lvl w:ilvl="0" w:tplc="68200A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8D6C9B"/>
    <w:multiLevelType w:val="hybridMultilevel"/>
    <w:tmpl w:val="44643E70"/>
    <w:lvl w:ilvl="0" w:tplc="5D2AAC8E">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446F8"/>
    <w:multiLevelType w:val="multilevel"/>
    <w:tmpl w:val="C8A62F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860D78"/>
    <w:multiLevelType w:val="hybridMultilevel"/>
    <w:tmpl w:val="9DEA9FD6"/>
    <w:lvl w:ilvl="0" w:tplc="D37E01C0">
      <w:start w:val="2"/>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A0C6224"/>
    <w:multiLevelType w:val="multilevel"/>
    <w:tmpl w:val="7BDC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DA6007"/>
    <w:multiLevelType w:val="multilevel"/>
    <w:tmpl w:val="72AEDFF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A92575"/>
    <w:multiLevelType w:val="hybridMultilevel"/>
    <w:tmpl w:val="1BE20266"/>
    <w:lvl w:ilvl="0" w:tplc="4AF4D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E335FA"/>
    <w:multiLevelType w:val="multilevel"/>
    <w:tmpl w:val="D5A8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EA450E"/>
    <w:multiLevelType w:val="multilevel"/>
    <w:tmpl w:val="502E4F1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0A0149"/>
    <w:multiLevelType w:val="multilevel"/>
    <w:tmpl w:val="502E4F1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0C0F0A"/>
    <w:multiLevelType w:val="multilevel"/>
    <w:tmpl w:val="502E4F1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A94CB5"/>
    <w:multiLevelType w:val="multilevel"/>
    <w:tmpl w:val="FC0AA9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E2886"/>
    <w:multiLevelType w:val="multilevel"/>
    <w:tmpl w:val="502E4F1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AE763E"/>
    <w:multiLevelType w:val="multilevel"/>
    <w:tmpl w:val="00AE8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CB13ED"/>
    <w:multiLevelType w:val="multilevel"/>
    <w:tmpl w:val="4B7EB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B22DAE"/>
    <w:multiLevelType w:val="multilevel"/>
    <w:tmpl w:val="56B277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5A53B3"/>
    <w:multiLevelType w:val="hybridMultilevel"/>
    <w:tmpl w:val="9B881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AF6783"/>
    <w:multiLevelType w:val="hybridMultilevel"/>
    <w:tmpl w:val="BB8438D6"/>
    <w:lvl w:ilvl="0" w:tplc="4A1A1AB4">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F00AB7"/>
    <w:multiLevelType w:val="hybridMultilevel"/>
    <w:tmpl w:val="57B8B85E"/>
    <w:lvl w:ilvl="0" w:tplc="A52878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3157F3"/>
    <w:multiLevelType w:val="multilevel"/>
    <w:tmpl w:val="D5CCA242"/>
    <w:lvl w:ilvl="0">
      <w:start w:val="1"/>
      <w:numFmt w:val="upperLetter"/>
      <w:lvlText w:val="%1."/>
      <w:lvlJc w:val="left"/>
      <w:pPr>
        <w:tabs>
          <w:tab w:val="num" w:pos="360"/>
        </w:tabs>
        <w:ind w:left="360" w:hanging="360"/>
      </w:pPr>
      <w:rPr>
        <w:rFonts w:cs="Times New Roman" w:hint="default"/>
        <w:b w:val="0"/>
        <w:sz w:val="20"/>
      </w:rPr>
    </w:lvl>
    <w:lvl w:ilvl="1">
      <w:start w:val="1"/>
      <w:numFmt w:val="upperLetter"/>
      <w:lvlText w:val="%2."/>
      <w:lvlJc w:val="left"/>
      <w:pPr>
        <w:ind w:left="1080" w:hanging="360"/>
      </w:pPr>
    </w:lvl>
    <w:lvl w:ilvl="2">
      <w:start w:val="1"/>
      <w:numFmt w:val="upperLetter"/>
      <w:lvlText w:val="%3."/>
      <w:lvlJc w:val="left"/>
      <w:pPr>
        <w:ind w:left="1800" w:hanging="360"/>
      </w:p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52232835">
    <w:abstractNumId w:val="10"/>
  </w:num>
  <w:num w:numId="2" w16cid:durableId="1881084578">
    <w:abstractNumId w:val="12"/>
  </w:num>
  <w:num w:numId="3" w16cid:durableId="74087351">
    <w:abstractNumId w:val="23"/>
  </w:num>
  <w:num w:numId="4" w16cid:durableId="527912770">
    <w:abstractNumId w:val="16"/>
  </w:num>
  <w:num w:numId="5" w16cid:durableId="1570340551">
    <w:abstractNumId w:val="24"/>
  </w:num>
  <w:num w:numId="6" w16cid:durableId="1683554635">
    <w:abstractNumId w:val="26"/>
  </w:num>
  <w:num w:numId="7" w16cid:durableId="1410343088">
    <w:abstractNumId w:val="8"/>
  </w:num>
  <w:num w:numId="8" w16cid:durableId="2109423672">
    <w:abstractNumId w:val="5"/>
  </w:num>
  <w:num w:numId="9" w16cid:durableId="1851137952">
    <w:abstractNumId w:val="1"/>
  </w:num>
  <w:num w:numId="10" w16cid:durableId="1279332309">
    <w:abstractNumId w:val="19"/>
  </w:num>
  <w:num w:numId="11" w16cid:durableId="1433668994">
    <w:abstractNumId w:val="2"/>
  </w:num>
  <w:num w:numId="12" w16cid:durableId="1473983728">
    <w:abstractNumId w:val="22"/>
  </w:num>
  <w:num w:numId="13" w16cid:durableId="904025267">
    <w:abstractNumId w:val="13"/>
  </w:num>
  <w:num w:numId="14" w16cid:durableId="1690184522">
    <w:abstractNumId w:val="0"/>
  </w:num>
  <w:num w:numId="15" w16cid:durableId="1449011288">
    <w:abstractNumId w:val="27"/>
  </w:num>
  <w:num w:numId="16" w16cid:durableId="1774282729">
    <w:abstractNumId w:val="4"/>
  </w:num>
  <w:num w:numId="17" w16cid:durableId="56244952">
    <w:abstractNumId w:val="17"/>
  </w:num>
  <w:num w:numId="18" w16cid:durableId="188225846">
    <w:abstractNumId w:val="11"/>
  </w:num>
  <w:num w:numId="19" w16cid:durableId="116409284">
    <w:abstractNumId w:val="15"/>
  </w:num>
  <w:num w:numId="20" w16cid:durableId="1614167631">
    <w:abstractNumId w:val="25"/>
  </w:num>
  <w:num w:numId="21" w16cid:durableId="39210572">
    <w:abstractNumId w:val="6"/>
  </w:num>
  <w:num w:numId="22" w16cid:durableId="1558468364">
    <w:abstractNumId w:val="9"/>
  </w:num>
  <w:num w:numId="23" w16cid:durableId="500973863">
    <w:abstractNumId w:val="18"/>
  </w:num>
  <w:num w:numId="24" w16cid:durableId="1393771479">
    <w:abstractNumId w:val="21"/>
  </w:num>
  <w:num w:numId="25" w16cid:durableId="1696537939">
    <w:abstractNumId w:val="14"/>
  </w:num>
  <w:num w:numId="26" w16cid:durableId="1187014448">
    <w:abstractNumId w:val="20"/>
  </w:num>
  <w:num w:numId="27" w16cid:durableId="1084107751">
    <w:abstractNumId w:val="3"/>
  </w:num>
  <w:num w:numId="28" w16cid:durableId="453065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E21"/>
    <w:rsid w:val="00005E2D"/>
    <w:rsid w:val="00077C8C"/>
    <w:rsid w:val="000C543F"/>
    <w:rsid w:val="000D6D19"/>
    <w:rsid w:val="0016747B"/>
    <w:rsid w:val="001852F0"/>
    <w:rsid w:val="001C5AAB"/>
    <w:rsid w:val="001F70E5"/>
    <w:rsid w:val="002074DB"/>
    <w:rsid w:val="002125BB"/>
    <w:rsid w:val="00240606"/>
    <w:rsid w:val="002712F9"/>
    <w:rsid w:val="002C15E3"/>
    <w:rsid w:val="0030008F"/>
    <w:rsid w:val="003119F8"/>
    <w:rsid w:val="00316830"/>
    <w:rsid w:val="00320F7F"/>
    <w:rsid w:val="00327EA6"/>
    <w:rsid w:val="003476BE"/>
    <w:rsid w:val="00371A53"/>
    <w:rsid w:val="0038731D"/>
    <w:rsid w:val="003A2689"/>
    <w:rsid w:val="003C0F50"/>
    <w:rsid w:val="003F4644"/>
    <w:rsid w:val="004308D0"/>
    <w:rsid w:val="0045151B"/>
    <w:rsid w:val="004C52AE"/>
    <w:rsid w:val="004C5452"/>
    <w:rsid w:val="004D4409"/>
    <w:rsid w:val="004F3093"/>
    <w:rsid w:val="004F61CE"/>
    <w:rsid w:val="00544773"/>
    <w:rsid w:val="005504D0"/>
    <w:rsid w:val="00581D5D"/>
    <w:rsid w:val="005E18E1"/>
    <w:rsid w:val="005F4572"/>
    <w:rsid w:val="00685CDD"/>
    <w:rsid w:val="00690F7A"/>
    <w:rsid w:val="006A61FA"/>
    <w:rsid w:val="006C7146"/>
    <w:rsid w:val="006D4CFC"/>
    <w:rsid w:val="006F6088"/>
    <w:rsid w:val="00744121"/>
    <w:rsid w:val="00760F85"/>
    <w:rsid w:val="00773CCE"/>
    <w:rsid w:val="00774C0E"/>
    <w:rsid w:val="007B44A2"/>
    <w:rsid w:val="007E3580"/>
    <w:rsid w:val="00811AB5"/>
    <w:rsid w:val="008144F4"/>
    <w:rsid w:val="00814CDA"/>
    <w:rsid w:val="00834117"/>
    <w:rsid w:val="00844339"/>
    <w:rsid w:val="008D33E3"/>
    <w:rsid w:val="008E14EE"/>
    <w:rsid w:val="008E654D"/>
    <w:rsid w:val="00926FF1"/>
    <w:rsid w:val="00953CFB"/>
    <w:rsid w:val="009621BF"/>
    <w:rsid w:val="00963E79"/>
    <w:rsid w:val="009772F7"/>
    <w:rsid w:val="00997465"/>
    <w:rsid w:val="009D0810"/>
    <w:rsid w:val="00A24502"/>
    <w:rsid w:val="00A36C07"/>
    <w:rsid w:val="00A42682"/>
    <w:rsid w:val="00A52DFE"/>
    <w:rsid w:val="00B9202C"/>
    <w:rsid w:val="00B92420"/>
    <w:rsid w:val="00B96FAD"/>
    <w:rsid w:val="00BA0AA2"/>
    <w:rsid w:val="00C02CDB"/>
    <w:rsid w:val="00C51FDF"/>
    <w:rsid w:val="00C645CA"/>
    <w:rsid w:val="00CA4F8E"/>
    <w:rsid w:val="00CB3DE8"/>
    <w:rsid w:val="00CB6E21"/>
    <w:rsid w:val="00CD5143"/>
    <w:rsid w:val="00CE29B6"/>
    <w:rsid w:val="00D37682"/>
    <w:rsid w:val="00D722CA"/>
    <w:rsid w:val="00D96B9D"/>
    <w:rsid w:val="00DC73E1"/>
    <w:rsid w:val="00E27295"/>
    <w:rsid w:val="00F36DA5"/>
    <w:rsid w:val="00F8538C"/>
    <w:rsid w:val="00FC498E"/>
    <w:rsid w:val="00FC56F6"/>
    <w:rsid w:val="00FE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9AE6"/>
  <w15:chartTrackingRefBased/>
  <w15:docId w15:val="{F77801D4-B963-4963-88A7-7E3112AD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E21"/>
    <w:pPr>
      <w:keepNext/>
      <w:keepLines/>
      <w:numPr>
        <w:numId w:val="1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6E21"/>
    <w:pPr>
      <w:keepNext/>
      <w:keepLines/>
      <w:numPr>
        <w:ilvl w:val="1"/>
        <w:numId w:val="1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B6E21"/>
    <w:pPr>
      <w:keepNext/>
      <w:keepLines/>
      <w:numPr>
        <w:ilvl w:val="2"/>
        <w:numId w:val="1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B6E21"/>
    <w:pPr>
      <w:keepNext/>
      <w:keepLines/>
      <w:numPr>
        <w:ilvl w:val="3"/>
        <w:numId w:val="1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E21"/>
    <w:pPr>
      <w:keepNext/>
      <w:keepLines/>
      <w:numPr>
        <w:ilvl w:val="4"/>
        <w:numId w:val="1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E21"/>
    <w:pPr>
      <w:keepNext/>
      <w:keepLines/>
      <w:numPr>
        <w:ilvl w:val="5"/>
        <w:numId w:val="1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E21"/>
    <w:pPr>
      <w:keepNext/>
      <w:keepLines/>
      <w:numPr>
        <w:ilvl w:val="6"/>
        <w:numId w:val="1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E21"/>
    <w:pPr>
      <w:keepNext/>
      <w:keepLines/>
      <w:numPr>
        <w:ilvl w:val="7"/>
        <w:numId w:val="1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E21"/>
    <w:pPr>
      <w:keepNext/>
      <w:keepLines/>
      <w:numPr>
        <w:ilvl w:val="8"/>
        <w:numId w:val="1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E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6E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B6E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B6E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E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E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E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E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E21"/>
    <w:rPr>
      <w:rFonts w:eastAsiaTheme="majorEastAsia" w:cstheme="majorBidi"/>
      <w:color w:val="272727" w:themeColor="text1" w:themeTint="D8"/>
    </w:rPr>
  </w:style>
  <w:style w:type="paragraph" w:styleId="Title">
    <w:name w:val="Title"/>
    <w:basedOn w:val="Normal"/>
    <w:next w:val="Normal"/>
    <w:link w:val="TitleChar"/>
    <w:uiPriority w:val="10"/>
    <w:qFormat/>
    <w:rsid w:val="00CB6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E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E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E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E21"/>
    <w:pPr>
      <w:spacing w:before="160"/>
      <w:jc w:val="center"/>
    </w:pPr>
    <w:rPr>
      <w:i/>
      <w:iCs/>
      <w:color w:val="404040" w:themeColor="text1" w:themeTint="BF"/>
    </w:rPr>
  </w:style>
  <w:style w:type="character" w:customStyle="1" w:styleId="QuoteChar">
    <w:name w:val="Quote Char"/>
    <w:basedOn w:val="DefaultParagraphFont"/>
    <w:link w:val="Quote"/>
    <w:uiPriority w:val="29"/>
    <w:rsid w:val="00CB6E21"/>
    <w:rPr>
      <w:i/>
      <w:iCs/>
      <w:color w:val="404040" w:themeColor="text1" w:themeTint="BF"/>
    </w:rPr>
  </w:style>
  <w:style w:type="paragraph" w:styleId="ListParagraph">
    <w:name w:val="List Paragraph"/>
    <w:basedOn w:val="Normal"/>
    <w:uiPriority w:val="34"/>
    <w:qFormat/>
    <w:rsid w:val="00CB6E21"/>
    <w:pPr>
      <w:ind w:left="720"/>
      <w:contextualSpacing/>
    </w:pPr>
  </w:style>
  <w:style w:type="character" w:styleId="IntenseEmphasis">
    <w:name w:val="Intense Emphasis"/>
    <w:basedOn w:val="DefaultParagraphFont"/>
    <w:uiPriority w:val="21"/>
    <w:qFormat/>
    <w:rsid w:val="00CB6E21"/>
    <w:rPr>
      <w:i/>
      <w:iCs/>
      <w:color w:val="0F4761" w:themeColor="accent1" w:themeShade="BF"/>
    </w:rPr>
  </w:style>
  <w:style w:type="paragraph" w:styleId="IntenseQuote">
    <w:name w:val="Intense Quote"/>
    <w:basedOn w:val="Normal"/>
    <w:next w:val="Normal"/>
    <w:link w:val="IntenseQuoteChar"/>
    <w:uiPriority w:val="30"/>
    <w:qFormat/>
    <w:rsid w:val="00CB6E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E21"/>
    <w:rPr>
      <w:i/>
      <w:iCs/>
      <w:color w:val="0F4761" w:themeColor="accent1" w:themeShade="BF"/>
    </w:rPr>
  </w:style>
  <w:style w:type="character" w:styleId="IntenseReference">
    <w:name w:val="Intense Reference"/>
    <w:basedOn w:val="DefaultParagraphFont"/>
    <w:uiPriority w:val="32"/>
    <w:qFormat/>
    <w:rsid w:val="00CB6E21"/>
    <w:rPr>
      <w:b/>
      <w:bCs/>
      <w:smallCaps/>
      <w:color w:val="0F4761" w:themeColor="accent1" w:themeShade="BF"/>
      <w:spacing w:val="5"/>
    </w:rPr>
  </w:style>
  <w:style w:type="paragraph" w:styleId="Header">
    <w:name w:val="header"/>
    <w:basedOn w:val="Normal"/>
    <w:link w:val="HeaderChar"/>
    <w:uiPriority w:val="99"/>
    <w:unhideWhenUsed/>
    <w:rsid w:val="00C64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CA"/>
  </w:style>
  <w:style w:type="paragraph" w:styleId="Footer">
    <w:name w:val="footer"/>
    <w:basedOn w:val="Normal"/>
    <w:link w:val="FooterChar"/>
    <w:uiPriority w:val="99"/>
    <w:unhideWhenUsed/>
    <w:rsid w:val="00C64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CA"/>
  </w:style>
  <w:style w:type="character" w:styleId="Hyperlink">
    <w:name w:val="Hyperlink"/>
    <w:basedOn w:val="DefaultParagraphFont"/>
    <w:uiPriority w:val="99"/>
    <w:unhideWhenUsed/>
    <w:rsid w:val="002712F9"/>
    <w:rPr>
      <w:color w:val="467886" w:themeColor="hyperlink"/>
      <w:u w:val="single"/>
    </w:rPr>
  </w:style>
  <w:style w:type="character" w:styleId="UnresolvedMention">
    <w:name w:val="Unresolved Mention"/>
    <w:basedOn w:val="DefaultParagraphFont"/>
    <w:uiPriority w:val="99"/>
    <w:semiHidden/>
    <w:unhideWhenUsed/>
    <w:rsid w:val="002712F9"/>
    <w:rPr>
      <w:color w:val="605E5C"/>
      <w:shd w:val="clear" w:color="auto" w:fill="E1DFDD"/>
    </w:rPr>
  </w:style>
  <w:style w:type="paragraph" w:styleId="EndnoteText">
    <w:name w:val="endnote text"/>
    <w:basedOn w:val="Normal"/>
    <w:link w:val="EndnoteTextChar"/>
    <w:uiPriority w:val="99"/>
    <w:semiHidden/>
    <w:unhideWhenUsed/>
    <w:rsid w:val="005504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04D0"/>
    <w:rPr>
      <w:sz w:val="20"/>
      <w:szCs w:val="20"/>
    </w:rPr>
  </w:style>
  <w:style w:type="character" w:styleId="EndnoteReference">
    <w:name w:val="endnote reference"/>
    <w:basedOn w:val="DefaultParagraphFont"/>
    <w:uiPriority w:val="99"/>
    <w:semiHidden/>
    <w:unhideWhenUsed/>
    <w:rsid w:val="005504D0"/>
    <w:rPr>
      <w:vertAlign w:val="superscript"/>
    </w:rPr>
  </w:style>
  <w:style w:type="paragraph" w:styleId="NormalWeb">
    <w:name w:val="Normal (Web)"/>
    <w:basedOn w:val="Normal"/>
    <w:uiPriority w:val="99"/>
    <w:semiHidden/>
    <w:unhideWhenUsed/>
    <w:rsid w:val="005504D0"/>
    <w:rPr>
      <w:rFonts w:ascii="Times New Roman" w:hAnsi="Times New Roman" w:cs="Times New Roman"/>
    </w:rPr>
  </w:style>
  <w:style w:type="paragraph" w:styleId="TOCHeading">
    <w:name w:val="TOC Heading"/>
    <w:basedOn w:val="Heading1"/>
    <w:next w:val="Normal"/>
    <w:uiPriority w:val="39"/>
    <w:unhideWhenUsed/>
    <w:qFormat/>
    <w:rsid w:val="00963E79"/>
    <w:pPr>
      <w:numPr>
        <w:numId w:val="0"/>
      </w:num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63E79"/>
    <w:pPr>
      <w:spacing w:after="100"/>
    </w:pPr>
  </w:style>
  <w:style w:type="paragraph" w:styleId="TOC2">
    <w:name w:val="toc 2"/>
    <w:basedOn w:val="Normal"/>
    <w:next w:val="Normal"/>
    <w:autoRedefine/>
    <w:uiPriority w:val="39"/>
    <w:unhideWhenUsed/>
    <w:rsid w:val="00963E79"/>
    <w:pPr>
      <w:spacing w:after="100"/>
      <w:ind w:left="240"/>
    </w:pPr>
  </w:style>
  <w:style w:type="paragraph" w:styleId="TOC3">
    <w:name w:val="toc 3"/>
    <w:basedOn w:val="Normal"/>
    <w:next w:val="Normal"/>
    <w:autoRedefine/>
    <w:uiPriority w:val="39"/>
    <w:unhideWhenUsed/>
    <w:rsid w:val="00963E7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3676">
      <w:bodyDiv w:val="1"/>
      <w:marLeft w:val="0"/>
      <w:marRight w:val="0"/>
      <w:marTop w:val="0"/>
      <w:marBottom w:val="0"/>
      <w:divBdr>
        <w:top w:val="none" w:sz="0" w:space="0" w:color="auto"/>
        <w:left w:val="none" w:sz="0" w:space="0" w:color="auto"/>
        <w:bottom w:val="none" w:sz="0" w:space="0" w:color="auto"/>
        <w:right w:val="none" w:sz="0" w:space="0" w:color="auto"/>
      </w:divBdr>
      <w:divsChild>
        <w:div w:id="2137334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59453">
      <w:bodyDiv w:val="1"/>
      <w:marLeft w:val="0"/>
      <w:marRight w:val="0"/>
      <w:marTop w:val="0"/>
      <w:marBottom w:val="0"/>
      <w:divBdr>
        <w:top w:val="none" w:sz="0" w:space="0" w:color="auto"/>
        <w:left w:val="none" w:sz="0" w:space="0" w:color="auto"/>
        <w:bottom w:val="none" w:sz="0" w:space="0" w:color="auto"/>
        <w:right w:val="none" w:sz="0" w:space="0" w:color="auto"/>
      </w:divBdr>
    </w:div>
    <w:div w:id="131289936">
      <w:bodyDiv w:val="1"/>
      <w:marLeft w:val="0"/>
      <w:marRight w:val="0"/>
      <w:marTop w:val="0"/>
      <w:marBottom w:val="0"/>
      <w:divBdr>
        <w:top w:val="none" w:sz="0" w:space="0" w:color="auto"/>
        <w:left w:val="none" w:sz="0" w:space="0" w:color="auto"/>
        <w:bottom w:val="none" w:sz="0" w:space="0" w:color="auto"/>
        <w:right w:val="none" w:sz="0" w:space="0" w:color="auto"/>
      </w:divBdr>
    </w:div>
    <w:div w:id="140658718">
      <w:bodyDiv w:val="1"/>
      <w:marLeft w:val="0"/>
      <w:marRight w:val="0"/>
      <w:marTop w:val="0"/>
      <w:marBottom w:val="0"/>
      <w:divBdr>
        <w:top w:val="none" w:sz="0" w:space="0" w:color="auto"/>
        <w:left w:val="none" w:sz="0" w:space="0" w:color="auto"/>
        <w:bottom w:val="none" w:sz="0" w:space="0" w:color="auto"/>
        <w:right w:val="none" w:sz="0" w:space="0" w:color="auto"/>
      </w:divBdr>
      <w:divsChild>
        <w:div w:id="1776828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02831">
      <w:bodyDiv w:val="1"/>
      <w:marLeft w:val="0"/>
      <w:marRight w:val="0"/>
      <w:marTop w:val="0"/>
      <w:marBottom w:val="0"/>
      <w:divBdr>
        <w:top w:val="none" w:sz="0" w:space="0" w:color="auto"/>
        <w:left w:val="none" w:sz="0" w:space="0" w:color="auto"/>
        <w:bottom w:val="none" w:sz="0" w:space="0" w:color="auto"/>
        <w:right w:val="none" w:sz="0" w:space="0" w:color="auto"/>
      </w:divBdr>
    </w:div>
    <w:div w:id="175506438">
      <w:bodyDiv w:val="1"/>
      <w:marLeft w:val="0"/>
      <w:marRight w:val="0"/>
      <w:marTop w:val="0"/>
      <w:marBottom w:val="0"/>
      <w:divBdr>
        <w:top w:val="none" w:sz="0" w:space="0" w:color="auto"/>
        <w:left w:val="none" w:sz="0" w:space="0" w:color="auto"/>
        <w:bottom w:val="none" w:sz="0" w:space="0" w:color="auto"/>
        <w:right w:val="none" w:sz="0" w:space="0" w:color="auto"/>
      </w:divBdr>
    </w:div>
    <w:div w:id="229390443">
      <w:bodyDiv w:val="1"/>
      <w:marLeft w:val="0"/>
      <w:marRight w:val="0"/>
      <w:marTop w:val="0"/>
      <w:marBottom w:val="0"/>
      <w:divBdr>
        <w:top w:val="none" w:sz="0" w:space="0" w:color="auto"/>
        <w:left w:val="none" w:sz="0" w:space="0" w:color="auto"/>
        <w:bottom w:val="none" w:sz="0" w:space="0" w:color="auto"/>
        <w:right w:val="none" w:sz="0" w:space="0" w:color="auto"/>
      </w:divBdr>
    </w:div>
    <w:div w:id="247887265">
      <w:bodyDiv w:val="1"/>
      <w:marLeft w:val="0"/>
      <w:marRight w:val="0"/>
      <w:marTop w:val="0"/>
      <w:marBottom w:val="0"/>
      <w:divBdr>
        <w:top w:val="none" w:sz="0" w:space="0" w:color="auto"/>
        <w:left w:val="none" w:sz="0" w:space="0" w:color="auto"/>
        <w:bottom w:val="none" w:sz="0" w:space="0" w:color="auto"/>
        <w:right w:val="none" w:sz="0" w:space="0" w:color="auto"/>
      </w:divBdr>
    </w:div>
    <w:div w:id="299309470">
      <w:bodyDiv w:val="1"/>
      <w:marLeft w:val="0"/>
      <w:marRight w:val="0"/>
      <w:marTop w:val="0"/>
      <w:marBottom w:val="0"/>
      <w:divBdr>
        <w:top w:val="none" w:sz="0" w:space="0" w:color="auto"/>
        <w:left w:val="none" w:sz="0" w:space="0" w:color="auto"/>
        <w:bottom w:val="none" w:sz="0" w:space="0" w:color="auto"/>
        <w:right w:val="none" w:sz="0" w:space="0" w:color="auto"/>
      </w:divBdr>
    </w:div>
    <w:div w:id="402994327">
      <w:bodyDiv w:val="1"/>
      <w:marLeft w:val="0"/>
      <w:marRight w:val="0"/>
      <w:marTop w:val="0"/>
      <w:marBottom w:val="0"/>
      <w:divBdr>
        <w:top w:val="none" w:sz="0" w:space="0" w:color="auto"/>
        <w:left w:val="none" w:sz="0" w:space="0" w:color="auto"/>
        <w:bottom w:val="none" w:sz="0" w:space="0" w:color="auto"/>
        <w:right w:val="none" w:sz="0" w:space="0" w:color="auto"/>
      </w:divBdr>
    </w:div>
    <w:div w:id="549541277">
      <w:bodyDiv w:val="1"/>
      <w:marLeft w:val="0"/>
      <w:marRight w:val="0"/>
      <w:marTop w:val="0"/>
      <w:marBottom w:val="0"/>
      <w:divBdr>
        <w:top w:val="none" w:sz="0" w:space="0" w:color="auto"/>
        <w:left w:val="none" w:sz="0" w:space="0" w:color="auto"/>
        <w:bottom w:val="none" w:sz="0" w:space="0" w:color="auto"/>
        <w:right w:val="none" w:sz="0" w:space="0" w:color="auto"/>
      </w:divBdr>
    </w:div>
    <w:div w:id="563417745">
      <w:bodyDiv w:val="1"/>
      <w:marLeft w:val="0"/>
      <w:marRight w:val="0"/>
      <w:marTop w:val="0"/>
      <w:marBottom w:val="0"/>
      <w:divBdr>
        <w:top w:val="none" w:sz="0" w:space="0" w:color="auto"/>
        <w:left w:val="none" w:sz="0" w:space="0" w:color="auto"/>
        <w:bottom w:val="none" w:sz="0" w:space="0" w:color="auto"/>
        <w:right w:val="none" w:sz="0" w:space="0" w:color="auto"/>
      </w:divBdr>
    </w:div>
    <w:div w:id="586812639">
      <w:bodyDiv w:val="1"/>
      <w:marLeft w:val="0"/>
      <w:marRight w:val="0"/>
      <w:marTop w:val="0"/>
      <w:marBottom w:val="0"/>
      <w:divBdr>
        <w:top w:val="none" w:sz="0" w:space="0" w:color="auto"/>
        <w:left w:val="none" w:sz="0" w:space="0" w:color="auto"/>
        <w:bottom w:val="none" w:sz="0" w:space="0" w:color="auto"/>
        <w:right w:val="none" w:sz="0" w:space="0" w:color="auto"/>
      </w:divBdr>
    </w:div>
    <w:div w:id="661397311">
      <w:bodyDiv w:val="1"/>
      <w:marLeft w:val="0"/>
      <w:marRight w:val="0"/>
      <w:marTop w:val="0"/>
      <w:marBottom w:val="0"/>
      <w:divBdr>
        <w:top w:val="none" w:sz="0" w:space="0" w:color="auto"/>
        <w:left w:val="none" w:sz="0" w:space="0" w:color="auto"/>
        <w:bottom w:val="none" w:sz="0" w:space="0" w:color="auto"/>
        <w:right w:val="none" w:sz="0" w:space="0" w:color="auto"/>
      </w:divBdr>
    </w:div>
    <w:div w:id="721175347">
      <w:bodyDiv w:val="1"/>
      <w:marLeft w:val="0"/>
      <w:marRight w:val="0"/>
      <w:marTop w:val="0"/>
      <w:marBottom w:val="0"/>
      <w:divBdr>
        <w:top w:val="none" w:sz="0" w:space="0" w:color="auto"/>
        <w:left w:val="none" w:sz="0" w:space="0" w:color="auto"/>
        <w:bottom w:val="none" w:sz="0" w:space="0" w:color="auto"/>
        <w:right w:val="none" w:sz="0" w:space="0" w:color="auto"/>
      </w:divBdr>
    </w:div>
    <w:div w:id="791246576">
      <w:bodyDiv w:val="1"/>
      <w:marLeft w:val="0"/>
      <w:marRight w:val="0"/>
      <w:marTop w:val="0"/>
      <w:marBottom w:val="0"/>
      <w:divBdr>
        <w:top w:val="none" w:sz="0" w:space="0" w:color="auto"/>
        <w:left w:val="none" w:sz="0" w:space="0" w:color="auto"/>
        <w:bottom w:val="none" w:sz="0" w:space="0" w:color="auto"/>
        <w:right w:val="none" w:sz="0" w:space="0" w:color="auto"/>
      </w:divBdr>
    </w:div>
    <w:div w:id="808282352">
      <w:bodyDiv w:val="1"/>
      <w:marLeft w:val="0"/>
      <w:marRight w:val="0"/>
      <w:marTop w:val="0"/>
      <w:marBottom w:val="0"/>
      <w:divBdr>
        <w:top w:val="none" w:sz="0" w:space="0" w:color="auto"/>
        <w:left w:val="none" w:sz="0" w:space="0" w:color="auto"/>
        <w:bottom w:val="none" w:sz="0" w:space="0" w:color="auto"/>
        <w:right w:val="none" w:sz="0" w:space="0" w:color="auto"/>
      </w:divBdr>
    </w:div>
    <w:div w:id="811141324">
      <w:bodyDiv w:val="1"/>
      <w:marLeft w:val="0"/>
      <w:marRight w:val="0"/>
      <w:marTop w:val="0"/>
      <w:marBottom w:val="0"/>
      <w:divBdr>
        <w:top w:val="none" w:sz="0" w:space="0" w:color="auto"/>
        <w:left w:val="none" w:sz="0" w:space="0" w:color="auto"/>
        <w:bottom w:val="none" w:sz="0" w:space="0" w:color="auto"/>
        <w:right w:val="none" w:sz="0" w:space="0" w:color="auto"/>
      </w:divBdr>
    </w:div>
    <w:div w:id="854925298">
      <w:bodyDiv w:val="1"/>
      <w:marLeft w:val="0"/>
      <w:marRight w:val="0"/>
      <w:marTop w:val="0"/>
      <w:marBottom w:val="0"/>
      <w:divBdr>
        <w:top w:val="none" w:sz="0" w:space="0" w:color="auto"/>
        <w:left w:val="none" w:sz="0" w:space="0" w:color="auto"/>
        <w:bottom w:val="none" w:sz="0" w:space="0" w:color="auto"/>
        <w:right w:val="none" w:sz="0" w:space="0" w:color="auto"/>
      </w:divBdr>
    </w:div>
    <w:div w:id="929895819">
      <w:bodyDiv w:val="1"/>
      <w:marLeft w:val="0"/>
      <w:marRight w:val="0"/>
      <w:marTop w:val="0"/>
      <w:marBottom w:val="0"/>
      <w:divBdr>
        <w:top w:val="none" w:sz="0" w:space="0" w:color="auto"/>
        <w:left w:val="none" w:sz="0" w:space="0" w:color="auto"/>
        <w:bottom w:val="none" w:sz="0" w:space="0" w:color="auto"/>
        <w:right w:val="none" w:sz="0" w:space="0" w:color="auto"/>
      </w:divBdr>
    </w:div>
    <w:div w:id="993874959">
      <w:bodyDiv w:val="1"/>
      <w:marLeft w:val="0"/>
      <w:marRight w:val="0"/>
      <w:marTop w:val="0"/>
      <w:marBottom w:val="0"/>
      <w:divBdr>
        <w:top w:val="none" w:sz="0" w:space="0" w:color="auto"/>
        <w:left w:val="none" w:sz="0" w:space="0" w:color="auto"/>
        <w:bottom w:val="none" w:sz="0" w:space="0" w:color="auto"/>
        <w:right w:val="none" w:sz="0" w:space="0" w:color="auto"/>
      </w:divBdr>
    </w:div>
    <w:div w:id="994718436">
      <w:bodyDiv w:val="1"/>
      <w:marLeft w:val="0"/>
      <w:marRight w:val="0"/>
      <w:marTop w:val="0"/>
      <w:marBottom w:val="0"/>
      <w:divBdr>
        <w:top w:val="none" w:sz="0" w:space="0" w:color="auto"/>
        <w:left w:val="none" w:sz="0" w:space="0" w:color="auto"/>
        <w:bottom w:val="none" w:sz="0" w:space="0" w:color="auto"/>
        <w:right w:val="none" w:sz="0" w:space="0" w:color="auto"/>
      </w:divBdr>
    </w:div>
    <w:div w:id="996569796">
      <w:bodyDiv w:val="1"/>
      <w:marLeft w:val="0"/>
      <w:marRight w:val="0"/>
      <w:marTop w:val="0"/>
      <w:marBottom w:val="0"/>
      <w:divBdr>
        <w:top w:val="none" w:sz="0" w:space="0" w:color="auto"/>
        <w:left w:val="none" w:sz="0" w:space="0" w:color="auto"/>
        <w:bottom w:val="none" w:sz="0" w:space="0" w:color="auto"/>
        <w:right w:val="none" w:sz="0" w:space="0" w:color="auto"/>
      </w:divBdr>
    </w:div>
    <w:div w:id="1003628191">
      <w:bodyDiv w:val="1"/>
      <w:marLeft w:val="0"/>
      <w:marRight w:val="0"/>
      <w:marTop w:val="0"/>
      <w:marBottom w:val="0"/>
      <w:divBdr>
        <w:top w:val="none" w:sz="0" w:space="0" w:color="auto"/>
        <w:left w:val="none" w:sz="0" w:space="0" w:color="auto"/>
        <w:bottom w:val="none" w:sz="0" w:space="0" w:color="auto"/>
        <w:right w:val="none" w:sz="0" w:space="0" w:color="auto"/>
      </w:divBdr>
    </w:div>
    <w:div w:id="1012032768">
      <w:bodyDiv w:val="1"/>
      <w:marLeft w:val="0"/>
      <w:marRight w:val="0"/>
      <w:marTop w:val="0"/>
      <w:marBottom w:val="0"/>
      <w:divBdr>
        <w:top w:val="none" w:sz="0" w:space="0" w:color="auto"/>
        <w:left w:val="none" w:sz="0" w:space="0" w:color="auto"/>
        <w:bottom w:val="none" w:sz="0" w:space="0" w:color="auto"/>
        <w:right w:val="none" w:sz="0" w:space="0" w:color="auto"/>
      </w:divBdr>
    </w:div>
    <w:div w:id="1085566960">
      <w:bodyDiv w:val="1"/>
      <w:marLeft w:val="0"/>
      <w:marRight w:val="0"/>
      <w:marTop w:val="0"/>
      <w:marBottom w:val="0"/>
      <w:divBdr>
        <w:top w:val="none" w:sz="0" w:space="0" w:color="auto"/>
        <w:left w:val="none" w:sz="0" w:space="0" w:color="auto"/>
        <w:bottom w:val="none" w:sz="0" w:space="0" w:color="auto"/>
        <w:right w:val="none" w:sz="0" w:space="0" w:color="auto"/>
      </w:divBdr>
    </w:div>
    <w:div w:id="1126700737">
      <w:bodyDiv w:val="1"/>
      <w:marLeft w:val="0"/>
      <w:marRight w:val="0"/>
      <w:marTop w:val="0"/>
      <w:marBottom w:val="0"/>
      <w:divBdr>
        <w:top w:val="none" w:sz="0" w:space="0" w:color="auto"/>
        <w:left w:val="none" w:sz="0" w:space="0" w:color="auto"/>
        <w:bottom w:val="none" w:sz="0" w:space="0" w:color="auto"/>
        <w:right w:val="none" w:sz="0" w:space="0" w:color="auto"/>
      </w:divBdr>
    </w:div>
    <w:div w:id="1167134830">
      <w:bodyDiv w:val="1"/>
      <w:marLeft w:val="0"/>
      <w:marRight w:val="0"/>
      <w:marTop w:val="0"/>
      <w:marBottom w:val="0"/>
      <w:divBdr>
        <w:top w:val="none" w:sz="0" w:space="0" w:color="auto"/>
        <w:left w:val="none" w:sz="0" w:space="0" w:color="auto"/>
        <w:bottom w:val="none" w:sz="0" w:space="0" w:color="auto"/>
        <w:right w:val="none" w:sz="0" w:space="0" w:color="auto"/>
      </w:divBdr>
    </w:div>
    <w:div w:id="1226407375">
      <w:bodyDiv w:val="1"/>
      <w:marLeft w:val="0"/>
      <w:marRight w:val="0"/>
      <w:marTop w:val="0"/>
      <w:marBottom w:val="0"/>
      <w:divBdr>
        <w:top w:val="none" w:sz="0" w:space="0" w:color="auto"/>
        <w:left w:val="none" w:sz="0" w:space="0" w:color="auto"/>
        <w:bottom w:val="none" w:sz="0" w:space="0" w:color="auto"/>
        <w:right w:val="none" w:sz="0" w:space="0" w:color="auto"/>
      </w:divBdr>
    </w:div>
    <w:div w:id="1364093338">
      <w:bodyDiv w:val="1"/>
      <w:marLeft w:val="0"/>
      <w:marRight w:val="0"/>
      <w:marTop w:val="0"/>
      <w:marBottom w:val="0"/>
      <w:divBdr>
        <w:top w:val="none" w:sz="0" w:space="0" w:color="auto"/>
        <w:left w:val="none" w:sz="0" w:space="0" w:color="auto"/>
        <w:bottom w:val="none" w:sz="0" w:space="0" w:color="auto"/>
        <w:right w:val="none" w:sz="0" w:space="0" w:color="auto"/>
      </w:divBdr>
    </w:div>
    <w:div w:id="1458716776">
      <w:bodyDiv w:val="1"/>
      <w:marLeft w:val="0"/>
      <w:marRight w:val="0"/>
      <w:marTop w:val="0"/>
      <w:marBottom w:val="0"/>
      <w:divBdr>
        <w:top w:val="none" w:sz="0" w:space="0" w:color="auto"/>
        <w:left w:val="none" w:sz="0" w:space="0" w:color="auto"/>
        <w:bottom w:val="none" w:sz="0" w:space="0" w:color="auto"/>
        <w:right w:val="none" w:sz="0" w:space="0" w:color="auto"/>
      </w:divBdr>
    </w:div>
    <w:div w:id="1459031538">
      <w:bodyDiv w:val="1"/>
      <w:marLeft w:val="0"/>
      <w:marRight w:val="0"/>
      <w:marTop w:val="0"/>
      <w:marBottom w:val="0"/>
      <w:divBdr>
        <w:top w:val="none" w:sz="0" w:space="0" w:color="auto"/>
        <w:left w:val="none" w:sz="0" w:space="0" w:color="auto"/>
        <w:bottom w:val="none" w:sz="0" w:space="0" w:color="auto"/>
        <w:right w:val="none" w:sz="0" w:space="0" w:color="auto"/>
      </w:divBdr>
    </w:div>
    <w:div w:id="1488471348">
      <w:bodyDiv w:val="1"/>
      <w:marLeft w:val="0"/>
      <w:marRight w:val="0"/>
      <w:marTop w:val="0"/>
      <w:marBottom w:val="0"/>
      <w:divBdr>
        <w:top w:val="none" w:sz="0" w:space="0" w:color="auto"/>
        <w:left w:val="none" w:sz="0" w:space="0" w:color="auto"/>
        <w:bottom w:val="none" w:sz="0" w:space="0" w:color="auto"/>
        <w:right w:val="none" w:sz="0" w:space="0" w:color="auto"/>
      </w:divBdr>
    </w:div>
    <w:div w:id="1489401320">
      <w:bodyDiv w:val="1"/>
      <w:marLeft w:val="0"/>
      <w:marRight w:val="0"/>
      <w:marTop w:val="0"/>
      <w:marBottom w:val="0"/>
      <w:divBdr>
        <w:top w:val="none" w:sz="0" w:space="0" w:color="auto"/>
        <w:left w:val="none" w:sz="0" w:space="0" w:color="auto"/>
        <w:bottom w:val="none" w:sz="0" w:space="0" w:color="auto"/>
        <w:right w:val="none" w:sz="0" w:space="0" w:color="auto"/>
      </w:divBdr>
    </w:div>
    <w:div w:id="1639148297">
      <w:bodyDiv w:val="1"/>
      <w:marLeft w:val="0"/>
      <w:marRight w:val="0"/>
      <w:marTop w:val="0"/>
      <w:marBottom w:val="0"/>
      <w:divBdr>
        <w:top w:val="none" w:sz="0" w:space="0" w:color="auto"/>
        <w:left w:val="none" w:sz="0" w:space="0" w:color="auto"/>
        <w:bottom w:val="none" w:sz="0" w:space="0" w:color="auto"/>
        <w:right w:val="none" w:sz="0" w:space="0" w:color="auto"/>
      </w:divBdr>
    </w:div>
    <w:div w:id="1641231126">
      <w:bodyDiv w:val="1"/>
      <w:marLeft w:val="0"/>
      <w:marRight w:val="0"/>
      <w:marTop w:val="0"/>
      <w:marBottom w:val="0"/>
      <w:divBdr>
        <w:top w:val="none" w:sz="0" w:space="0" w:color="auto"/>
        <w:left w:val="none" w:sz="0" w:space="0" w:color="auto"/>
        <w:bottom w:val="none" w:sz="0" w:space="0" w:color="auto"/>
        <w:right w:val="none" w:sz="0" w:space="0" w:color="auto"/>
      </w:divBdr>
      <w:divsChild>
        <w:div w:id="372996851">
          <w:marLeft w:val="0"/>
          <w:marRight w:val="0"/>
          <w:marTop w:val="0"/>
          <w:marBottom w:val="0"/>
          <w:divBdr>
            <w:top w:val="none" w:sz="0" w:space="0" w:color="auto"/>
            <w:left w:val="none" w:sz="0" w:space="0" w:color="auto"/>
            <w:bottom w:val="none" w:sz="0" w:space="0" w:color="auto"/>
            <w:right w:val="none" w:sz="0" w:space="0" w:color="auto"/>
          </w:divBdr>
          <w:divsChild>
            <w:div w:id="1607419739">
              <w:marLeft w:val="0"/>
              <w:marRight w:val="0"/>
              <w:marTop w:val="0"/>
              <w:marBottom w:val="0"/>
              <w:divBdr>
                <w:top w:val="none" w:sz="0" w:space="0" w:color="auto"/>
                <w:left w:val="none" w:sz="0" w:space="0" w:color="auto"/>
                <w:bottom w:val="none" w:sz="0" w:space="0" w:color="auto"/>
                <w:right w:val="none" w:sz="0" w:space="0" w:color="auto"/>
              </w:divBdr>
              <w:divsChild>
                <w:div w:id="1984843856">
                  <w:marLeft w:val="0"/>
                  <w:marRight w:val="0"/>
                  <w:marTop w:val="0"/>
                  <w:marBottom w:val="0"/>
                  <w:divBdr>
                    <w:top w:val="none" w:sz="0" w:space="0" w:color="auto"/>
                    <w:left w:val="none" w:sz="0" w:space="0" w:color="auto"/>
                    <w:bottom w:val="none" w:sz="0" w:space="0" w:color="auto"/>
                    <w:right w:val="none" w:sz="0" w:space="0" w:color="auto"/>
                  </w:divBdr>
                  <w:divsChild>
                    <w:div w:id="286669794">
                      <w:marLeft w:val="0"/>
                      <w:marRight w:val="0"/>
                      <w:marTop w:val="0"/>
                      <w:marBottom w:val="0"/>
                      <w:divBdr>
                        <w:top w:val="none" w:sz="0" w:space="0" w:color="auto"/>
                        <w:left w:val="none" w:sz="0" w:space="0" w:color="auto"/>
                        <w:bottom w:val="none" w:sz="0" w:space="0" w:color="auto"/>
                        <w:right w:val="none" w:sz="0" w:space="0" w:color="auto"/>
                      </w:divBdr>
                      <w:divsChild>
                        <w:div w:id="140371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18164">
                  <w:marLeft w:val="0"/>
                  <w:marRight w:val="0"/>
                  <w:marTop w:val="0"/>
                  <w:marBottom w:val="0"/>
                  <w:divBdr>
                    <w:top w:val="none" w:sz="0" w:space="0" w:color="auto"/>
                    <w:left w:val="none" w:sz="0" w:space="0" w:color="auto"/>
                    <w:bottom w:val="none" w:sz="0" w:space="0" w:color="auto"/>
                    <w:right w:val="none" w:sz="0" w:space="0" w:color="auto"/>
                  </w:divBdr>
                  <w:divsChild>
                    <w:div w:id="1499226421">
                      <w:marLeft w:val="0"/>
                      <w:marRight w:val="0"/>
                      <w:marTop w:val="0"/>
                      <w:marBottom w:val="0"/>
                      <w:divBdr>
                        <w:top w:val="none" w:sz="0" w:space="0" w:color="auto"/>
                        <w:left w:val="none" w:sz="0" w:space="0" w:color="auto"/>
                        <w:bottom w:val="none" w:sz="0" w:space="0" w:color="auto"/>
                        <w:right w:val="none" w:sz="0" w:space="0" w:color="auto"/>
                      </w:divBdr>
                      <w:divsChild>
                        <w:div w:id="48347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592667">
      <w:bodyDiv w:val="1"/>
      <w:marLeft w:val="0"/>
      <w:marRight w:val="0"/>
      <w:marTop w:val="0"/>
      <w:marBottom w:val="0"/>
      <w:divBdr>
        <w:top w:val="none" w:sz="0" w:space="0" w:color="auto"/>
        <w:left w:val="none" w:sz="0" w:space="0" w:color="auto"/>
        <w:bottom w:val="none" w:sz="0" w:space="0" w:color="auto"/>
        <w:right w:val="none" w:sz="0" w:space="0" w:color="auto"/>
      </w:divBdr>
    </w:div>
    <w:div w:id="1741294992">
      <w:bodyDiv w:val="1"/>
      <w:marLeft w:val="0"/>
      <w:marRight w:val="0"/>
      <w:marTop w:val="0"/>
      <w:marBottom w:val="0"/>
      <w:divBdr>
        <w:top w:val="none" w:sz="0" w:space="0" w:color="auto"/>
        <w:left w:val="none" w:sz="0" w:space="0" w:color="auto"/>
        <w:bottom w:val="none" w:sz="0" w:space="0" w:color="auto"/>
        <w:right w:val="none" w:sz="0" w:space="0" w:color="auto"/>
      </w:divBdr>
    </w:div>
    <w:div w:id="1745881658">
      <w:bodyDiv w:val="1"/>
      <w:marLeft w:val="0"/>
      <w:marRight w:val="0"/>
      <w:marTop w:val="0"/>
      <w:marBottom w:val="0"/>
      <w:divBdr>
        <w:top w:val="none" w:sz="0" w:space="0" w:color="auto"/>
        <w:left w:val="none" w:sz="0" w:space="0" w:color="auto"/>
        <w:bottom w:val="none" w:sz="0" w:space="0" w:color="auto"/>
        <w:right w:val="none" w:sz="0" w:space="0" w:color="auto"/>
      </w:divBdr>
      <w:divsChild>
        <w:div w:id="1496648734">
          <w:marLeft w:val="0"/>
          <w:marRight w:val="0"/>
          <w:marTop w:val="0"/>
          <w:marBottom w:val="0"/>
          <w:divBdr>
            <w:top w:val="none" w:sz="0" w:space="0" w:color="auto"/>
            <w:left w:val="none" w:sz="0" w:space="0" w:color="auto"/>
            <w:bottom w:val="none" w:sz="0" w:space="0" w:color="auto"/>
            <w:right w:val="none" w:sz="0" w:space="0" w:color="auto"/>
          </w:divBdr>
          <w:divsChild>
            <w:div w:id="1225917696">
              <w:marLeft w:val="0"/>
              <w:marRight w:val="0"/>
              <w:marTop w:val="0"/>
              <w:marBottom w:val="0"/>
              <w:divBdr>
                <w:top w:val="none" w:sz="0" w:space="0" w:color="auto"/>
                <w:left w:val="none" w:sz="0" w:space="0" w:color="auto"/>
                <w:bottom w:val="none" w:sz="0" w:space="0" w:color="auto"/>
                <w:right w:val="none" w:sz="0" w:space="0" w:color="auto"/>
              </w:divBdr>
              <w:divsChild>
                <w:div w:id="1049262383">
                  <w:marLeft w:val="0"/>
                  <w:marRight w:val="0"/>
                  <w:marTop w:val="0"/>
                  <w:marBottom w:val="0"/>
                  <w:divBdr>
                    <w:top w:val="none" w:sz="0" w:space="0" w:color="auto"/>
                    <w:left w:val="none" w:sz="0" w:space="0" w:color="auto"/>
                    <w:bottom w:val="none" w:sz="0" w:space="0" w:color="auto"/>
                    <w:right w:val="none" w:sz="0" w:space="0" w:color="auto"/>
                  </w:divBdr>
                  <w:divsChild>
                    <w:div w:id="510030561">
                      <w:marLeft w:val="0"/>
                      <w:marRight w:val="0"/>
                      <w:marTop w:val="0"/>
                      <w:marBottom w:val="0"/>
                      <w:divBdr>
                        <w:top w:val="none" w:sz="0" w:space="0" w:color="auto"/>
                        <w:left w:val="none" w:sz="0" w:space="0" w:color="auto"/>
                        <w:bottom w:val="none" w:sz="0" w:space="0" w:color="auto"/>
                        <w:right w:val="none" w:sz="0" w:space="0" w:color="auto"/>
                      </w:divBdr>
                      <w:divsChild>
                        <w:div w:id="2809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4268">
                  <w:marLeft w:val="0"/>
                  <w:marRight w:val="0"/>
                  <w:marTop w:val="0"/>
                  <w:marBottom w:val="0"/>
                  <w:divBdr>
                    <w:top w:val="none" w:sz="0" w:space="0" w:color="auto"/>
                    <w:left w:val="none" w:sz="0" w:space="0" w:color="auto"/>
                    <w:bottom w:val="none" w:sz="0" w:space="0" w:color="auto"/>
                    <w:right w:val="none" w:sz="0" w:space="0" w:color="auto"/>
                  </w:divBdr>
                  <w:divsChild>
                    <w:div w:id="858811562">
                      <w:marLeft w:val="0"/>
                      <w:marRight w:val="0"/>
                      <w:marTop w:val="0"/>
                      <w:marBottom w:val="0"/>
                      <w:divBdr>
                        <w:top w:val="none" w:sz="0" w:space="0" w:color="auto"/>
                        <w:left w:val="none" w:sz="0" w:space="0" w:color="auto"/>
                        <w:bottom w:val="none" w:sz="0" w:space="0" w:color="auto"/>
                        <w:right w:val="none" w:sz="0" w:space="0" w:color="auto"/>
                      </w:divBdr>
                      <w:divsChild>
                        <w:div w:id="84308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974952">
      <w:bodyDiv w:val="1"/>
      <w:marLeft w:val="0"/>
      <w:marRight w:val="0"/>
      <w:marTop w:val="0"/>
      <w:marBottom w:val="0"/>
      <w:divBdr>
        <w:top w:val="none" w:sz="0" w:space="0" w:color="auto"/>
        <w:left w:val="none" w:sz="0" w:space="0" w:color="auto"/>
        <w:bottom w:val="none" w:sz="0" w:space="0" w:color="auto"/>
        <w:right w:val="none" w:sz="0" w:space="0" w:color="auto"/>
      </w:divBdr>
    </w:div>
    <w:div w:id="1778714077">
      <w:bodyDiv w:val="1"/>
      <w:marLeft w:val="0"/>
      <w:marRight w:val="0"/>
      <w:marTop w:val="0"/>
      <w:marBottom w:val="0"/>
      <w:divBdr>
        <w:top w:val="none" w:sz="0" w:space="0" w:color="auto"/>
        <w:left w:val="none" w:sz="0" w:space="0" w:color="auto"/>
        <w:bottom w:val="none" w:sz="0" w:space="0" w:color="auto"/>
        <w:right w:val="none" w:sz="0" w:space="0" w:color="auto"/>
      </w:divBdr>
    </w:div>
    <w:div w:id="1783913384">
      <w:bodyDiv w:val="1"/>
      <w:marLeft w:val="0"/>
      <w:marRight w:val="0"/>
      <w:marTop w:val="0"/>
      <w:marBottom w:val="0"/>
      <w:divBdr>
        <w:top w:val="none" w:sz="0" w:space="0" w:color="auto"/>
        <w:left w:val="none" w:sz="0" w:space="0" w:color="auto"/>
        <w:bottom w:val="none" w:sz="0" w:space="0" w:color="auto"/>
        <w:right w:val="none" w:sz="0" w:space="0" w:color="auto"/>
      </w:divBdr>
    </w:div>
    <w:div w:id="1843931368">
      <w:bodyDiv w:val="1"/>
      <w:marLeft w:val="0"/>
      <w:marRight w:val="0"/>
      <w:marTop w:val="0"/>
      <w:marBottom w:val="0"/>
      <w:divBdr>
        <w:top w:val="none" w:sz="0" w:space="0" w:color="auto"/>
        <w:left w:val="none" w:sz="0" w:space="0" w:color="auto"/>
        <w:bottom w:val="none" w:sz="0" w:space="0" w:color="auto"/>
        <w:right w:val="none" w:sz="0" w:space="0" w:color="auto"/>
      </w:divBdr>
    </w:div>
    <w:div w:id="1863858211">
      <w:bodyDiv w:val="1"/>
      <w:marLeft w:val="0"/>
      <w:marRight w:val="0"/>
      <w:marTop w:val="0"/>
      <w:marBottom w:val="0"/>
      <w:divBdr>
        <w:top w:val="none" w:sz="0" w:space="0" w:color="auto"/>
        <w:left w:val="none" w:sz="0" w:space="0" w:color="auto"/>
        <w:bottom w:val="none" w:sz="0" w:space="0" w:color="auto"/>
        <w:right w:val="none" w:sz="0" w:space="0" w:color="auto"/>
      </w:divBdr>
    </w:div>
    <w:div w:id="2032561137">
      <w:bodyDiv w:val="1"/>
      <w:marLeft w:val="0"/>
      <w:marRight w:val="0"/>
      <w:marTop w:val="0"/>
      <w:marBottom w:val="0"/>
      <w:divBdr>
        <w:top w:val="none" w:sz="0" w:space="0" w:color="auto"/>
        <w:left w:val="none" w:sz="0" w:space="0" w:color="auto"/>
        <w:bottom w:val="none" w:sz="0" w:space="0" w:color="auto"/>
        <w:right w:val="none" w:sz="0" w:space="0" w:color="auto"/>
      </w:divBdr>
    </w:div>
    <w:div w:id="2073187613">
      <w:bodyDiv w:val="1"/>
      <w:marLeft w:val="0"/>
      <w:marRight w:val="0"/>
      <w:marTop w:val="0"/>
      <w:marBottom w:val="0"/>
      <w:divBdr>
        <w:top w:val="none" w:sz="0" w:space="0" w:color="auto"/>
        <w:left w:val="none" w:sz="0" w:space="0" w:color="auto"/>
        <w:bottom w:val="none" w:sz="0" w:space="0" w:color="auto"/>
        <w:right w:val="none" w:sz="0" w:space="0" w:color="auto"/>
      </w:divBdr>
    </w:div>
    <w:div w:id="214141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ltonlawoffice.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639A8-A7E4-47FA-8F41-81F1CFAA0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1696</TotalTime>
  <Pages>29</Pages>
  <Words>11761</Words>
  <Characters>67040</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Dalton</dc:creator>
  <cp:keywords/>
  <dc:description/>
  <cp:lastModifiedBy>Nicole Dalton</cp:lastModifiedBy>
  <cp:revision>18</cp:revision>
  <dcterms:created xsi:type="dcterms:W3CDTF">2025-04-21T18:45:00Z</dcterms:created>
  <dcterms:modified xsi:type="dcterms:W3CDTF">2025-04-24T23:40:00Z</dcterms:modified>
</cp:coreProperties>
</file>