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9BE5C9" w14:textId="77777777" w:rsidR="00516377" w:rsidRDefault="00516377" w:rsidP="00516377">
      <w:pPr>
        <w:jc w:val="center"/>
      </w:pPr>
      <w:r>
        <w:rPr>
          <w:noProof/>
        </w:rPr>
        <mc:AlternateContent>
          <mc:Choice Requires="wps">
            <w:drawing>
              <wp:anchor distT="45720" distB="45720" distL="114300" distR="114300" simplePos="0" relativeHeight="251660288" behindDoc="1" locked="0" layoutInCell="1" allowOverlap="1" wp14:anchorId="5376BC89" wp14:editId="0D2BBBEC">
                <wp:simplePos x="0" y="0"/>
                <wp:positionH relativeFrom="column">
                  <wp:posOffset>-447675</wp:posOffset>
                </wp:positionH>
                <wp:positionV relativeFrom="paragraph">
                  <wp:posOffset>8629650</wp:posOffset>
                </wp:positionV>
                <wp:extent cx="681990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0" cy="1404620"/>
                        </a:xfrm>
                        <a:prstGeom prst="rect">
                          <a:avLst/>
                        </a:prstGeom>
                        <a:solidFill>
                          <a:srgbClr val="FFFFFF"/>
                        </a:solidFill>
                        <a:ln w="9525">
                          <a:noFill/>
                          <a:miter lim="800000"/>
                          <a:headEnd/>
                          <a:tailEnd/>
                        </a:ln>
                      </wps:spPr>
                      <wps:txbx>
                        <w:txbxContent>
                          <w:p w14:paraId="6C83E7BA" w14:textId="77777777" w:rsidR="00516377" w:rsidRPr="00516377" w:rsidRDefault="00516377" w:rsidP="00516377">
                            <w:pPr>
                              <w:jc w:val="center"/>
                              <w:rPr>
                                <w:rFonts w:cs="Tahoma"/>
                              </w:rPr>
                            </w:pPr>
                            <w:r w:rsidRPr="00516377">
                              <w:rPr>
                                <w:rFonts w:cs="Tahoma"/>
                                <w:color w:val="014F6E"/>
                              </w:rPr>
                              <w:t xml:space="preserve">110 Prefontaine Pl S, Ste 610 Seattle, WA 98102 | Tel: 206-623-4321 | Fax: 206-623-5420 | </w:t>
                            </w:r>
                            <w:r w:rsidRPr="00516377">
                              <w:rPr>
                                <w:rFonts w:cs="Tahoma"/>
                                <w:b/>
                                <w:color w:val="014F6E"/>
                              </w:rPr>
                              <w:t>www.defensenet.org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76BC89" id="_x0000_t202" coordsize="21600,21600" o:spt="202" path="m,l,21600r21600,l21600,xe">
                <v:stroke joinstyle="miter"/>
                <v:path gradientshapeok="t" o:connecttype="rect"/>
              </v:shapetype>
              <v:shape id="Text Box 2" o:spid="_x0000_s1026" type="#_x0000_t202" style="position:absolute;left:0;text-align:left;margin-left:-35.25pt;margin-top:679.5pt;width:537pt;height:110.6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BQmIAIAAB4EAAAOAAAAZHJzL2Uyb0RvYy54bWysU9Fu2yAUfZ+0f0C8L7ajJE2sOFWXLtOk&#10;rpvU7gMwxjEacBmQ2NnX74LTNOrepvGAgHs5nHvuYX07aEWOwnkJpqLFJKdEGA6NNPuK/njefVhS&#10;4gMzDVNgREVPwtPbzft3696WYgodqEY4giDGl72taBeCLbPM805o5idghcFgC06zgFu3zxrHekTX&#10;Kpvm+SLrwTXWARfe4+n9GKSbhN+2godvbetFIKqiyC2k2aW5jnO2WbNy75jtJD/TYP/AQjNp8NEL&#10;1D0LjByc/AtKS+7AQxsmHHQGbSu5SDVgNUX+ppqnjlmRakFxvL3I5P8fLH88fndENhWdFjeUGKax&#10;Sc9iCOQjDGQa9emtLzHtyWJiGPAY+5xq9fYB+E9PDGw7ZvbizjnoO8Ea5FfEm9nV1RHHR5C6/woN&#10;PsMOARLQ0DodxUM5CKJjn06X3kQqHA8Xy2K1yjHEMVbM8tlimrqXsfLlunU+fBagSVxU1GHzEzw7&#10;PvgQ6bDyJSW+5kHJZieVShu3r7fKkSNDo+zSSBW8SVOG9BVdzafzhGwg3k8e0jKgkZXUFV3mcYzW&#10;inJ8Mk1KCUyqcY1MlDnrEyUZxQlDPWBiFK2G5oRKORgNix8MFx2435T0aNaK+l8H5gQl6otBtVfF&#10;bBbdnTaz+Q1KQ9x1pL6OMMMRqqKBknG5DelHJB3sHXZlJ5Ner0zOXNGEScbzh4kuv96nrNdvvfkD&#10;AAD//wMAUEsDBBQABgAIAAAAIQANujrK4QAAAA4BAAAPAAAAZHJzL2Rvd25yZXYueG1sTI/NTsMw&#10;EITvSLyDtUjcWptWgTbEqSoqLhyQKEj06MabOCL+ke2m4e3Znuhtd2c0+021mezARoyp907Cw1wA&#10;Q9d43btOwtfn62wFLGXltBq8Qwm/mGBT395UqtT+7D5w3OeOUYhLpZJgcg4l56kxaFWa+4COtNZH&#10;qzKtseM6qjOF24EvhHjkVvWOPhgV8MVg87M/WQnf1vR6F98PrR7G3Vu7LcIUg5T3d9P2GVjGKf+b&#10;4YJP6FAT09GfnE5skDB7EgVZSVgWa2p1sQixpNuRpmIlFsDril/XqP8AAAD//wMAUEsBAi0AFAAG&#10;AAgAAAAhALaDOJL+AAAA4QEAABMAAAAAAAAAAAAAAAAAAAAAAFtDb250ZW50X1R5cGVzXS54bWxQ&#10;SwECLQAUAAYACAAAACEAOP0h/9YAAACUAQAACwAAAAAAAAAAAAAAAAAvAQAAX3JlbHMvLnJlbHNQ&#10;SwECLQAUAAYACAAAACEAUWwUJiACAAAeBAAADgAAAAAAAAAAAAAAAAAuAgAAZHJzL2Uyb0RvYy54&#10;bWxQSwECLQAUAAYACAAAACEADbo6yuEAAAAOAQAADwAAAAAAAAAAAAAAAAB6BAAAZHJzL2Rvd25y&#10;ZXYueG1sUEsFBgAAAAAEAAQA8wAAAIgFAAAAAA==&#10;" stroked="f">
                <v:textbox style="mso-fit-shape-to-text:t">
                  <w:txbxContent>
                    <w:p w14:paraId="6C83E7BA" w14:textId="77777777" w:rsidR="00516377" w:rsidRPr="00516377" w:rsidRDefault="00516377" w:rsidP="00516377">
                      <w:pPr>
                        <w:jc w:val="center"/>
                        <w:rPr>
                          <w:rFonts w:cs="Tahoma"/>
                        </w:rPr>
                      </w:pPr>
                      <w:r w:rsidRPr="00516377">
                        <w:rPr>
                          <w:rFonts w:cs="Tahoma"/>
                          <w:color w:val="014F6E"/>
                        </w:rPr>
                        <w:t xml:space="preserve">110 Prefontaine Pl S, Ste 610 Seattle, WA 98102 | Tel: 206-623-4321 | Fax: 206-623-5420 | </w:t>
                      </w:r>
                      <w:r w:rsidRPr="00516377">
                        <w:rPr>
                          <w:rFonts w:cs="Tahoma"/>
                          <w:b/>
                          <w:color w:val="014F6E"/>
                        </w:rPr>
                        <w:t>www.defensenet.org</w:t>
                      </w:r>
                    </w:p>
                  </w:txbxContent>
                </v:textbox>
              </v:shape>
            </w:pict>
          </mc:Fallback>
        </mc:AlternateContent>
      </w:r>
      <w:r>
        <w:rPr>
          <w:noProof/>
        </w:rPr>
        <w:drawing>
          <wp:anchor distT="0" distB="0" distL="114300" distR="114300" simplePos="0" relativeHeight="251658240" behindDoc="1" locked="0" layoutInCell="1" allowOverlap="1" wp14:anchorId="61D512A4" wp14:editId="4639097A">
            <wp:simplePos x="0" y="0"/>
            <wp:positionH relativeFrom="column">
              <wp:posOffset>571500</wp:posOffset>
            </wp:positionH>
            <wp:positionV relativeFrom="paragraph">
              <wp:posOffset>-552450</wp:posOffset>
            </wp:positionV>
            <wp:extent cx="4800600" cy="97726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DA_logo_4.20.17.png"/>
                    <pic:cNvPicPr/>
                  </pic:nvPicPr>
                  <pic:blipFill>
                    <a:blip r:embed="rId7">
                      <a:extLst>
                        <a:ext uri="{28A0092B-C50C-407E-A947-70E740481C1C}">
                          <a14:useLocalDpi xmlns:a14="http://schemas.microsoft.com/office/drawing/2010/main" val="0"/>
                        </a:ext>
                      </a:extLst>
                    </a:blip>
                    <a:stretch>
                      <a:fillRect/>
                    </a:stretch>
                  </pic:blipFill>
                  <pic:spPr>
                    <a:xfrm>
                      <a:off x="0" y="0"/>
                      <a:ext cx="4800600" cy="977265"/>
                    </a:xfrm>
                    <a:prstGeom prst="rect">
                      <a:avLst/>
                    </a:prstGeom>
                  </pic:spPr>
                </pic:pic>
              </a:graphicData>
            </a:graphic>
            <wp14:sizeRelH relativeFrom="page">
              <wp14:pctWidth>0</wp14:pctWidth>
            </wp14:sizeRelH>
            <wp14:sizeRelV relativeFrom="page">
              <wp14:pctHeight>0</wp14:pctHeight>
            </wp14:sizeRelV>
          </wp:anchor>
        </w:drawing>
      </w:r>
    </w:p>
    <w:p w14:paraId="7CCB2223" w14:textId="77777777" w:rsidR="00A4091D" w:rsidRDefault="00B21BBE" w:rsidP="00516377">
      <w:r>
        <w:rPr>
          <w:noProof/>
        </w:rPr>
        <mc:AlternateContent>
          <mc:Choice Requires="wps">
            <w:drawing>
              <wp:anchor distT="45720" distB="45720" distL="114300" distR="114300" simplePos="0" relativeHeight="251662336" behindDoc="1" locked="0" layoutInCell="1" allowOverlap="1" wp14:anchorId="152D5661" wp14:editId="65BD5D22">
                <wp:simplePos x="0" y="0"/>
                <wp:positionH relativeFrom="margin">
                  <wp:align>left</wp:align>
                </wp:positionH>
                <wp:positionV relativeFrom="paragraph">
                  <wp:posOffset>180975</wp:posOffset>
                </wp:positionV>
                <wp:extent cx="6121400" cy="481013"/>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1400" cy="481013"/>
                        </a:xfrm>
                        <a:prstGeom prst="rect">
                          <a:avLst/>
                        </a:prstGeom>
                        <a:solidFill>
                          <a:srgbClr val="FFFFFF"/>
                        </a:solidFill>
                        <a:ln w="9525">
                          <a:noFill/>
                          <a:miter lim="800000"/>
                          <a:headEnd/>
                          <a:tailEnd/>
                        </a:ln>
                      </wps:spPr>
                      <wps:txbx>
                        <w:txbxContent>
                          <w:p w14:paraId="736A9706" w14:textId="176EB4AC" w:rsidR="003931A9" w:rsidRPr="00836ABD" w:rsidRDefault="003931A9" w:rsidP="00836ABD">
                            <w:pPr>
                              <w:jc w:val="center"/>
                              <w:rPr>
                                <w:rFonts w:cs="Tahoma"/>
                                <w:color w:val="004F6E"/>
                                <w:sz w:val="28"/>
                                <w:szCs w:val="28"/>
                              </w:rPr>
                            </w:pPr>
                            <w:r w:rsidRPr="00CB7580">
                              <w:rPr>
                                <w:rFonts w:cs="Tahoma"/>
                                <w:b/>
                                <w:color w:val="004F6E"/>
                                <w:sz w:val="28"/>
                                <w:szCs w:val="28"/>
                              </w:rPr>
                              <w:t>PRACTICE ADVISORY</w:t>
                            </w:r>
                            <w:r w:rsidRPr="00CB7580">
                              <w:rPr>
                                <w:rFonts w:cs="Tahoma"/>
                                <w:color w:val="004F6E"/>
                                <w:sz w:val="28"/>
                                <w:szCs w:val="28"/>
                              </w:rPr>
                              <w:t xml:space="preserve"> | </w:t>
                            </w:r>
                            <w:r w:rsidR="00D37A44">
                              <w:rPr>
                                <w:rFonts w:cs="Tahoma"/>
                                <w:color w:val="004F6E"/>
                                <w:sz w:val="28"/>
                                <w:szCs w:val="28"/>
                              </w:rPr>
                              <w:t>2/27/24</w:t>
                            </w:r>
                            <w:r w:rsidRPr="00CB7580">
                              <w:rPr>
                                <w:rFonts w:cs="Tahoma"/>
                                <w:color w:val="004F6E"/>
                                <w:sz w:val="28"/>
                                <w:szCs w:val="28"/>
                              </w:rPr>
                              <w:t xml:space="preserve"> | Cindy Arends Elsberry</w:t>
                            </w:r>
                            <w:r w:rsidR="00CB7580" w:rsidRPr="00CB7580">
                              <w:rPr>
                                <w:rFonts w:cs="Tahoma"/>
                                <w:color w:val="004F6E"/>
                                <w:sz w:val="28"/>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2D5661" id="_x0000_t202" coordsize="21600,21600" o:spt="202" path="m,l,21600r21600,l21600,xe">
                <v:stroke joinstyle="miter"/>
                <v:path gradientshapeok="t" o:connecttype="rect"/>
              </v:shapetype>
              <v:shape id="Text Box 5" o:spid="_x0000_s1027" type="#_x0000_t202" style="position:absolute;margin-left:0;margin-top:14.25pt;width:482pt;height:37.9pt;z-index:-2516541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DHfDwIAAP0DAAAOAAAAZHJzL2Uyb0RvYy54bWysU9uO0zAQfUfiHyy/0ySlXbpR09XSpQhp&#10;uUgLH+A6TmPheMzYbbJ8PWMn2y3whvCD5fGMz8ycOV7fDJ1hJ4Veg614Mcs5U1ZCre2h4t++7l6t&#10;OPNB2FoYsKrij8rzm83LF+velWoOLZhaISMQ68veVbwNwZVZ5mWrOuFn4JQlZwPYiUAmHrIaRU/o&#10;ncnmeX6V9YC1Q5DKe7q9G518k/CbRsnwuWm8CsxUnGoLace07+OebdaiPKBwrZZTGeIfquiEtpT0&#10;DHUngmBH1H9BdVoieGjCTEKXQdNoqVIP1E2R/9HNQyucSr0QOd6dafL/D1Z+Oj24L8jC8BYGGmBq&#10;wrt7kN89s7BthT2oW0ToWyVqSlxEyrLe+XJ6Gqn2pY8g+/4j1DRkcQyQgIYGu8gK9ckInQbweCZd&#10;DYFJurwq5sUiJ5ck32JV5MXrlEKUT68d+vBeQcfioeJIQ03o4nTvQ6xGlE8hMZkHo+udNiYZeNhv&#10;DbKTIAHs0prQfwszlvUVv17OlwnZQnyftNHpQAI1uqv4Ko9rlExk452tU0gQ2oxnqsTYiZ7IyMhN&#10;GPYD0/XEXWRrD/Uj8YUw6pH+Dx1awJ+c9aTFivsfR4GKM/PBEufXxWIRxZuMxfLNnAy89OwvPcJK&#10;gqp44Gw8bkMSfKTDwi3NptGJtudKppJJY4nN6T9EEV/aKer5125+AQAA//8DAFBLAwQUAAYACAAA&#10;ACEAEKmAvdwAAAAHAQAADwAAAGRycy9kb3ducmV2LnhtbEyPQU/CQBCF7yb+h82QeDGyFUuB2i1R&#10;E41XkB8wbYe2oTvbdBda/r3jSY5v3st732TbyXbqQoNvHRt4nkegiEtXtVwbOPx8Pq1B+YBcYeeY&#10;DFzJwza/v8swrdzIO7rsQ62khH2KBpoQ+lRrXzZk0c9dTyze0Q0Wg8ih1tWAo5TbTi+iKNEWW5aF&#10;Bnv6aKg87c/WwPF7fFxuxuIrHFa7OHnHdlW4qzEPs+ntFVSgKfyH4Q9f0CEXpsKdufKqMyCPBAOL&#10;9RKUuJsklkMhsSh+AZ1n+pY//wUAAP//AwBQSwECLQAUAAYACAAAACEAtoM4kv4AAADhAQAAEwAA&#10;AAAAAAAAAAAAAAAAAAAAW0NvbnRlbnRfVHlwZXNdLnhtbFBLAQItABQABgAIAAAAIQA4/SH/1gAA&#10;AJQBAAALAAAAAAAAAAAAAAAAAC8BAABfcmVscy8ucmVsc1BLAQItABQABgAIAAAAIQATVDHfDwIA&#10;AP0DAAAOAAAAAAAAAAAAAAAAAC4CAABkcnMvZTJvRG9jLnhtbFBLAQItABQABgAIAAAAIQAQqYC9&#10;3AAAAAcBAAAPAAAAAAAAAAAAAAAAAGkEAABkcnMvZG93bnJldi54bWxQSwUGAAAAAAQABADzAAAA&#10;cgUAAAAA&#10;" stroked="f">
                <v:textbox>
                  <w:txbxContent>
                    <w:p w14:paraId="736A9706" w14:textId="176EB4AC" w:rsidR="003931A9" w:rsidRPr="00836ABD" w:rsidRDefault="003931A9" w:rsidP="00836ABD">
                      <w:pPr>
                        <w:jc w:val="center"/>
                        <w:rPr>
                          <w:rFonts w:cs="Tahoma"/>
                          <w:color w:val="004F6E"/>
                          <w:sz w:val="28"/>
                          <w:szCs w:val="28"/>
                        </w:rPr>
                      </w:pPr>
                      <w:r w:rsidRPr="00CB7580">
                        <w:rPr>
                          <w:rFonts w:cs="Tahoma"/>
                          <w:b/>
                          <w:color w:val="004F6E"/>
                          <w:sz w:val="28"/>
                          <w:szCs w:val="28"/>
                        </w:rPr>
                        <w:t>PRACTICE ADVISORY</w:t>
                      </w:r>
                      <w:r w:rsidRPr="00CB7580">
                        <w:rPr>
                          <w:rFonts w:cs="Tahoma"/>
                          <w:color w:val="004F6E"/>
                          <w:sz w:val="28"/>
                          <w:szCs w:val="28"/>
                        </w:rPr>
                        <w:t xml:space="preserve"> | </w:t>
                      </w:r>
                      <w:r w:rsidR="00D37A44">
                        <w:rPr>
                          <w:rFonts w:cs="Tahoma"/>
                          <w:color w:val="004F6E"/>
                          <w:sz w:val="28"/>
                          <w:szCs w:val="28"/>
                        </w:rPr>
                        <w:t>2/27/24</w:t>
                      </w:r>
                      <w:r w:rsidRPr="00CB7580">
                        <w:rPr>
                          <w:rFonts w:cs="Tahoma"/>
                          <w:color w:val="004F6E"/>
                          <w:sz w:val="28"/>
                          <w:szCs w:val="28"/>
                        </w:rPr>
                        <w:t xml:space="preserve"> | Cindy Arends Elsberry</w:t>
                      </w:r>
                      <w:r w:rsidR="00CB7580" w:rsidRPr="00CB7580">
                        <w:rPr>
                          <w:rFonts w:cs="Tahoma"/>
                          <w:color w:val="004F6E"/>
                          <w:sz w:val="28"/>
                          <w:szCs w:val="28"/>
                        </w:rPr>
                        <w:t xml:space="preserve"> </w:t>
                      </w:r>
                    </w:p>
                  </w:txbxContent>
                </v:textbox>
                <w10:wrap anchorx="margin"/>
              </v:shape>
            </w:pict>
          </mc:Fallback>
        </mc:AlternateContent>
      </w:r>
    </w:p>
    <w:p w14:paraId="17E99BEB" w14:textId="77777777" w:rsidR="00516377" w:rsidRPr="00B3644C" w:rsidRDefault="00516377" w:rsidP="00516377">
      <w:pPr>
        <w:rPr>
          <w:sz w:val="28"/>
          <w:szCs w:val="28"/>
        </w:rPr>
      </w:pPr>
    </w:p>
    <w:p w14:paraId="7B7B87E1" w14:textId="6A138558" w:rsidR="008F5FB0" w:rsidRPr="00B3644C" w:rsidRDefault="00C66D5F" w:rsidP="008F5FB0">
      <w:pPr>
        <w:jc w:val="center"/>
        <w:rPr>
          <w:sz w:val="28"/>
          <w:szCs w:val="28"/>
        </w:rPr>
      </w:pPr>
      <w:r>
        <w:rPr>
          <w:b/>
          <w:sz w:val="28"/>
          <w:szCs w:val="28"/>
        </w:rPr>
        <w:t xml:space="preserve">Major </w:t>
      </w:r>
      <w:r w:rsidR="00B16364" w:rsidRPr="00B3644C">
        <w:rPr>
          <w:b/>
          <w:sz w:val="28"/>
          <w:szCs w:val="28"/>
        </w:rPr>
        <w:t xml:space="preserve">Pathways to </w:t>
      </w:r>
      <w:r w:rsidR="008F5FB0" w:rsidRPr="00B3644C">
        <w:rPr>
          <w:b/>
          <w:sz w:val="28"/>
          <w:szCs w:val="28"/>
        </w:rPr>
        <w:t>Felony Resentencing</w:t>
      </w:r>
      <w:r w:rsidR="003B75CB" w:rsidRPr="00B3644C">
        <w:rPr>
          <w:b/>
          <w:sz w:val="28"/>
          <w:szCs w:val="28"/>
        </w:rPr>
        <w:t xml:space="preserve"> </w:t>
      </w:r>
      <w:r w:rsidR="007D7056" w:rsidRPr="00B3644C">
        <w:rPr>
          <w:b/>
          <w:sz w:val="28"/>
          <w:szCs w:val="28"/>
        </w:rPr>
        <w:t>in</w:t>
      </w:r>
      <w:r w:rsidR="00F37A61" w:rsidRPr="00B3644C">
        <w:rPr>
          <w:b/>
          <w:sz w:val="28"/>
          <w:szCs w:val="28"/>
        </w:rPr>
        <w:t xml:space="preserve"> Washington State</w:t>
      </w:r>
      <w:r w:rsidR="003A1BE9" w:rsidRPr="00B3644C">
        <w:rPr>
          <w:b/>
          <w:sz w:val="28"/>
          <w:szCs w:val="28"/>
        </w:rPr>
        <w:t xml:space="preserve"> </w:t>
      </w:r>
      <w:r w:rsidR="00B16364" w:rsidRPr="00B3644C">
        <w:rPr>
          <w:b/>
          <w:sz w:val="28"/>
          <w:szCs w:val="28"/>
        </w:rPr>
        <w:t>(</w:t>
      </w:r>
      <w:r w:rsidR="003A1BE9" w:rsidRPr="00B3644C">
        <w:rPr>
          <w:b/>
          <w:sz w:val="28"/>
          <w:szCs w:val="28"/>
        </w:rPr>
        <w:t>202</w:t>
      </w:r>
      <w:r w:rsidR="00D37A44">
        <w:rPr>
          <w:b/>
          <w:sz w:val="28"/>
          <w:szCs w:val="28"/>
        </w:rPr>
        <w:t>4</w:t>
      </w:r>
      <w:r w:rsidR="00B16364" w:rsidRPr="00B3644C">
        <w:rPr>
          <w:b/>
          <w:sz w:val="28"/>
          <w:szCs w:val="28"/>
        </w:rPr>
        <w:t>)</w:t>
      </w:r>
    </w:p>
    <w:p w14:paraId="3AA1A843" w14:textId="07D60791" w:rsidR="003B75CB" w:rsidRPr="00730321" w:rsidRDefault="003B75CB" w:rsidP="00C342F3">
      <w:pPr>
        <w:spacing w:line="240" w:lineRule="auto"/>
        <w:contextualSpacing/>
        <w:rPr>
          <w:bCs/>
          <w:sz w:val="24"/>
          <w:szCs w:val="24"/>
        </w:rPr>
      </w:pPr>
      <w:r w:rsidRPr="00730321">
        <w:rPr>
          <w:bCs/>
          <w:sz w:val="24"/>
          <w:szCs w:val="24"/>
        </w:rPr>
        <w:t xml:space="preserve">There are many ways a person may </w:t>
      </w:r>
      <w:r w:rsidR="00B16364" w:rsidRPr="00730321">
        <w:rPr>
          <w:bCs/>
          <w:sz w:val="24"/>
          <w:szCs w:val="24"/>
        </w:rPr>
        <w:t>become eligible for a r</w:t>
      </w:r>
      <w:r w:rsidRPr="00730321">
        <w:rPr>
          <w:bCs/>
          <w:sz w:val="24"/>
          <w:szCs w:val="24"/>
        </w:rPr>
        <w:t xml:space="preserve">esentencing hearing – </w:t>
      </w:r>
      <w:r w:rsidR="00B16364" w:rsidRPr="00730321">
        <w:rPr>
          <w:bCs/>
          <w:sz w:val="24"/>
          <w:szCs w:val="24"/>
        </w:rPr>
        <w:t xml:space="preserve">examples include </w:t>
      </w:r>
      <w:r w:rsidRPr="00730321">
        <w:rPr>
          <w:bCs/>
          <w:sz w:val="24"/>
          <w:szCs w:val="24"/>
        </w:rPr>
        <w:t>scoring errors</w:t>
      </w:r>
      <w:r w:rsidR="00B16364" w:rsidRPr="00730321">
        <w:rPr>
          <w:bCs/>
          <w:sz w:val="24"/>
          <w:szCs w:val="24"/>
        </w:rPr>
        <w:t xml:space="preserve"> </w:t>
      </w:r>
      <w:r w:rsidR="00695655">
        <w:rPr>
          <w:bCs/>
          <w:sz w:val="24"/>
          <w:szCs w:val="24"/>
        </w:rPr>
        <w:t>that result in</w:t>
      </w:r>
      <w:r w:rsidR="00B16364" w:rsidRPr="00730321">
        <w:rPr>
          <w:bCs/>
          <w:sz w:val="24"/>
          <w:szCs w:val="24"/>
        </w:rPr>
        <w:t xml:space="preserve"> miscalculation of the standard range</w:t>
      </w:r>
      <w:r w:rsidRPr="00730321">
        <w:rPr>
          <w:bCs/>
          <w:sz w:val="24"/>
          <w:szCs w:val="24"/>
        </w:rPr>
        <w:t>, misinformation or misapplication of the law, ineffective assistance, prosecutorial misconduct, and many more.</w:t>
      </w:r>
      <w:r w:rsidR="00B16364" w:rsidRPr="00730321">
        <w:rPr>
          <w:bCs/>
          <w:sz w:val="24"/>
          <w:szCs w:val="24"/>
        </w:rPr>
        <w:t xml:space="preserve"> This practice advisory discusses </w:t>
      </w:r>
      <w:r w:rsidR="00C0591F" w:rsidRPr="00730321">
        <w:rPr>
          <w:bCs/>
          <w:sz w:val="24"/>
          <w:szCs w:val="24"/>
        </w:rPr>
        <w:t xml:space="preserve">major </w:t>
      </w:r>
      <w:r w:rsidR="00695655">
        <w:rPr>
          <w:bCs/>
          <w:sz w:val="24"/>
          <w:szCs w:val="24"/>
        </w:rPr>
        <w:t>changes</w:t>
      </w:r>
      <w:r w:rsidR="00B16364" w:rsidRPr="00730321">
        <w:rPr>
          <w:bCs/>
          <w:sz w:val="24"/>
          <w:szCs w:val="24"/>
        </w:rPr>
        <w:t xml:space="preserve"> in the law leading to a significant number of individuals going back to court for a resentencing hearing.</w:t>
      </w:r>
    </w:p>
    <w:p w14:paraId="135C64F0" w14:textId="77777777" w:rsidR="003B75CB" w:rsidRPr="00730321" w:rsidRDefault="003B75CB" w:rsidP="00C342F3">
      <w:pPr>
        <w:spacing w:line="240" w:lineRule="auto"/>
        <w:contextualSpacing/>
        <w:rPr>
          <w:b/>
          <w:i/>
          <w:iCs/>
          <w:sz w:val="24"/>
          <w:szCs w:val="24"/>
          <w:u w:val="single"/>
        </w:rPr>
      </w:pPr>
    </w:p>
    <w:p w14:paraId="3FB22B04" w14:textId="18965AE4" w:rsidR="00810216" w:rsidRPr="00730321" w:rsidRDefault="00810216" w:rsidP="00C342F3">
      <w:pPr>
        <w:spacing w:line="240" w:lineRule="auto"/>
        <w:contextualSpacing/>
        <w:rPr>
          <w:b/>
          <w:sz w:val="24"/>
          <w:szCs w:val="24"/>
          <w:u w:val="single"/>
        </w:rPr>
      </w:pPr>
      <w:r w:rsidRPr="00730321">
        <w:rPr>
          <w:b/>
          <w:i/>
          <w:iCs/>
          <w:sz w:val="24"/>
          <w:szCs w:val="24"/>
          <w:u w:val="single"/>
        </w:rPr>
        <w:t>Miller</w:t>
      </w:r>
      <w:r w:rsidRPr="00730321">
        <w:rPr>
          <w:b/>
          <w:sz w:val="24"/>
          <w:szCs w:val="24"/>
          <w:u w:val="single"/>
        </w:rPr>
        <w:t xml:space="preserve"> Resentencing</w:t>
      </w:r>
      <w:r w:rsidR="00D34592" w:rsidRPr="00730321">
        <w:rPr>
          <w:b/>
          <w:sz w:val="24"/>
          <w:szCs w:val="24"/>
        </w:rPr>
        <w:t xml:space="preserve"> – RCW 10.95.030(3),</w:t>
      </w:r>
      <w:r w:rsidR="00AF1A43">
        <w:rPr>
          <w:b/>
          <w:sz w:val="24"/>
          <w:szCs w:val="24"/>
        </w:rPr>
        <w:t xml:space="preserve"> 10.95</w:t>
      </w:r>
      <w:r w:rsidR="00D34592" w:rsidRPr="00730321">
        <w:rPr>
          <w:b/>
          <w:sz w:val="24"/>
          <w:szCs w:val="24"/>
        </w:rPr>
        <w:t>.035</w:t>
      </w:r>
    </w:p>
    <w:p w14:paraId="312917FD" w14:textId="78FC0864" w:rsidR="00810216" w:rsidRPr="00730321" w:rsidRDefault="00810216" w:rsidP="00C342F3">
      <w:pPr>
        <w:spacing w:line="240" w:lineRule="auto"/>
        <w:contextualSpacing/>
        <w:rPr>
          <w:b/>
          <w:sz w:val="24"/>
          <w:szCs w:val="24"/>
        </w:rPr>
      </w:pPr>
      <w:r w:rsidRPr="00730321">
        <w:rPr>
          <w:bCs/>
          <w:sz w:val="24"/>
          <w:szCs w:val="24"/>
        </w:rPr>
        <w:t xml:space="preserve">In 2012, the United States Supreme Court decided </w:t>
      </w:r>
      <w:r w:rsidRPr="00730321">
        <w:rPr>
          <w:bCs/>
          <w:i/>
          <w:iCs/>
          <w:sz w:val="24"/>
          <w:szCs w:val="24"/>
        </w:rPr>
        <w:t xml:space="preserve">Miller v. Alabama, </w:t>
      </w:r>
      <w:r w:rsidRPr="00730321">
        <w:rPr>
          <w:rFonts w:cstheme="minorHAnsi"/>
          <w:sz w:val="24"/>
          <w:szCs w:val="24"/>
        </w:rPr>
        <w:t xml:space="preserve">567 U.S. 460, 132 S.Ct. 2455, 183 L.Ed.2d 407 (2012), </w:t>
      </w:r>
      <w:r w:rsidRPr="00730321">
        <w:rPr>
          <w:bCs/>
          <w:sz w:val="24"/>
          <w:szCs w:val="24"/>
        </w:rPr>
        <w:t xml:space="preserve">holding that mandatory life sentences for </w:t>
      </w:r>
      <w:r w:rsidR="00DB41BC">
        <w:rPr>
          <w:bCs/>
          <w:sz w:val="24"/>
          <w:szCs w:val="24"/>
        </w:rPr>
        <w:t>people who were under 18 at the time of offense and</w:t>
      </w:r>
      <w:r w:rsidRPr="00730321">
        <w:rPr>
          <w:bCs/>
          <w:sz w:val="24"/>
          <w:szCs w:val="24"/>
        </w:rPr>
        <w:t xml:space="preserve"> convicted of homicide violates the Eighth Amendment ban on cruel and unusual punishment. Following </w:t>
      </w:r>
      <w:r w:rsidRPr="00730321">
        <w:rPr>
          <w:bCs/>
          <w:i/>
          <w:iCs/>
          <w:sz w:val="24"/>
          <w:szCs w:val="24"/>
        </w:rPr>
        <w:t>Miller</w:t>
      </w:r>
      <w:r w:rsidRPr="00730321">
        <w:rPr>
          <w:bCs/>
          <w:sz w:val="24"/>
          <w:szCs w:val="24"/>
        </w:rPr>
        <w:t xml:space="preserve">, the Washington Legislature amended RCW 10.95, the aggravated murder statute, adding language to RCW 10.95.030 to comply with </w:t>
      </w:r>
      <w:r w:rsidRPr="00730321">
        <w:rPr>
          <w:bCs/>
          <w:i/>
          <w:iCs/>
          <w:sz w:val="24"/>
          <w:szCs w:val="24"/>
        </w:rPr>
        <w:t>Mille</w:t>
      </w:r>
      <w:r w:rsidR="00B16364" w:rsidRPr="00730321">
        <w:rPr>
          <w:bCs/>
          <w:i/>
          <w:iCs/>
          <w:sz w:val="24"/>
          <w:szCs w:val="24"/>
        </w:rPr>
        <w:t>r</w:t>
      </w:r>
      <w:r w:rsidRPr="00730321">
        <w:rPr>
          <w:bCs/>
          <w:sz w:val="24"/>
          <w:szCs w:val="24"/>
        </w:rPr>
        <w:t xml:space="preserve"> and </w:t>
      </w:r>
      <w:r w:rsidR="00DB41BC">
        <w:rPr>
          <w:bCs/>
          <w:sz w:val="24"/>
          <w:szCs w:val="24"/>
        </w:rPr>
        <w:t>requiring</w:t>
      </w:r>
      <w:r w:rsidRPr="00730321">
        <w:rPr>
          <w:bCs/>
          <w:sz w:val="24"/>
          <w:szCs w:val="24"/>
        </w:rPr>
        <w:t xml:space="preserve"> resentencing </w:t>
      </w:r>
      <w:r w:rsidR="00B16364" w:rsidRPr="00730321">
        <w:rPr>
          <w:bCs/>
          <w:sz w:val="24"/>
          <w:szCs w:val="24"/>
        </w:rPr>
        <w:t>for</w:t>
      </w:r>
      <w:r w:rsidRPr="00730321">
        <w:rPr>
          <w:bCs/>
          <w:sz w:val="24"/>
          <w:szCs w:val="24"/>
        </w:rPr>
        <w:t xml:space="preserve"> all individuals previously sentence to mandatory life </w:t>
      </w:r>
      <w:r w:rsidR="00B16364" w:rsidRPr="00730321">
        <w:rPr>
          <w:bCs/>
          <w:sz w:val="24"/>
          <w:szCs w:val="24"/>
        </w:rPr>
        <w:t xml:space="preserve">without parole </w:t>
      </w:r>
      <w:r w:rsidRPr="00730321">
        <w:rPr>
          <w:bCs/>
          <w:sz w:val="24"/>
          <w:szCs w:val="24"/>
        </w:rPr>
        <w:t>for aggravated murder crimes committed before their 18</w:t>
      </w:r>
      <w:r w:rsidRPr="00730321">
        <w:rPr>
          <w:bCs/>
          <w:sz w:val="24"/>
          <w:szCs w:val="24"/>
          <w:vertAlign w:val="superscript"/>
        </w:rPr>
        <w:t>th</w:t>
      </w:r>
      <w:r w:rsidRPr="00730321">
        <w:rPr>
          <w:bCs/>
          <w:sz w:val="24"/>
          <w:szCs w:val="24"/>
        </w:rPr>
        <w:t xml:space="preserve"> birthday. RCW 10.95.035.</w:t>
      </w:r>
    </w:p>
    <w:p w14:paraId="37D85AF9" w14:textId="77777777" w:rsidR="00810216" w:rsidRPr="00730321" w:rsidRDefault="00810216" w:rsidP="00C342F3">
      <w:pPr>
        <w:spacing w:line="240" w:lineRule="auto"/>
        <w:contextualSpacing/>
        <w:rPr>
          <w:b/>
          <w:i/>
          <w:sz w:val="24"/>
          <w:szCs w:val="24"/>
          <w:u w:val="single"/>
        </w:rPr>
      </w:pPr>
    </w:p>
    <w:p w14:paraId="49E46A55" w14:textId="661C9D48" w:rsidR="00B21BBE" w:rsidRPr="00730321" w:rsidRDefault="00B21BBE" w:rsidP="00C342F3">
      <w:pPr>
        <w:spacing w:line="240" w:lineRule="auto"/>
        <w:contextualSpacing/>
        <w:rPr>
          <w:b/>
          <w:sz w:val="24"/>
          <w:szCs w:val="24"/>
          <w:u w:val="single"/>
        </w:rPr>
      </w:pPr>
      <w:r w:rsidRPr="00730321">
        <w:rPr>
          <w:b/>
          <w:i/>
          <w:sz w:val="24"/>
          <w:szCs w:val="24"/>
          <w:u w:val="single"/>
        </w:rPr>
        <w:t>State v. Blake</w:t>
      </w:r>
    </w:p>
    <w:p w14:paraId="5AD019D7" w14:textId="6C2195B1" w:rsidR="00405A05" w:rsidRPr="00730321" w:rsidRDefault="00A041A0" w:rsidP="00C342F3">
      <w:pPr>
        <w:spacing w:line="240" w:lineRule="auto"/>
        <w:contextualSpacing/>
        <w:rPr>
          <w:bCs/>
          <w:sz w:val="24"/>
          <w:szCs w:val="24"/>
        </w:rPr>
      </w:pPr>
      <w:r w:rsidRPr="00730321">
        <w:rPr>
          <w:sz w:val="24"/>
          <w:szCs w:val="24"/>
        </w:rPr>
        <w:t>O</w:t>
      </w:r>
      <w:r w:rsidR="0091772B" w:rsidRPr="00730321">
        <w:rPr>
          <w:sz w:val="24"/>
          <w:szCs w:val="24"/>
        </w:rPr>
        <w:t xml:space="preserve">n February </w:t>
      </w:r>
      <w:r w:rsidRPr="00730321">
        <w:rPr>
          <w:sz w:val="24"/>
          <w:szCs w:val="24"/>
        </w:rPr>
        <w:t>25,</w:t>
      </w:r>
      <w:r w:rsidR="0091772B" w:rsidRPr="00730321">
        <w:rPr>
          <w:sz w:val="24"/>
          <w:szCs w:val="24"/>
        </w:rPr>
        <w:t xml:space="preserve"> 202</w:t>
      </w:r>
      <w:r w:rsidR="009357C7" w:rsidRPr="00730321">
        <w:rPr>
          <w:sz w:val="24"/>
          <w:szCs w:val="24"/>
        </w:rPr>
        <w:t>1</w:t>
      </w:r>
      <w:r w:rsidR="0091772B" w:rsidRPr="00730321">
        <w:rPr>
          <w:sz w:val="24"/>
          <w:szCs w:val="24"/>
        </w:rPr>
        <w:t xml:space="preserve">, the Washington Supreme Court </w:t>
      </w:r>
      <w:r w:rsidRPr="00730321">
        <w:rPr>
          <w:sz w:val="24"/>
          <w:szCs w:val="24"/>
        </w:rPr>
        <w:t xml:space="preserve">decided </w:t>
      </w:r>
      <w:r w:rsidRPr="00730321">
        <w:rPr>
          <w:i/>
          <w:iCs/>
          <w:sz w:val="24"/>
          <w:szCs w:val="24"/>
        </w:rPr>
        <w:t>State v. Blake</w:t>
      </w:r>
      <w:r w:rsidR="009357C7" w:rsidRPr="00730321">
        <w:rPr>
          <w:bCs/>
          <w:i/>
          <w:sz w:val="24"/>
          <w:szCs w:val="24"/>
        </w:rPr>
        <w:t xml:space="preserve">, </w:t>
      </w:r>
      <w:r w:rsidR="009357C7" w:rsidRPr="00730321">
        <w:rPr>
          <w:bCs/>
          <w:sz w:val="24"/>
          <w:szCs w:val="24"/>
        </w:rPr>
        <w:t>197 Wn.2d 170, 481 P.3d</w:t>
      </w:r>
      <w:r w:rsidR="009357C7" w:rsidRPr="00DB41BC">
        <w:rPr>
          <w:bCs/>
          <w:sz w:val="24"/>
          <w:szCs w:val="24"/>
        </w:rPr>
        <w:t xml:space="preserve"> </w:t>
      </w:r>
      <w:r w:rsidR="009357C7" w:rsidRPr="00730321">
        <w:rPr>
          <w:bCs/>
          <w:sz w:val="24"/>
          <w:szCs w:val="24"/>
        </w:rPr>
        <w:t xml:space="preserve">521 (2021), </w:t>
      </w:r>
      <w:r w:rsidRPr="00730321">
        <w:rPr>
          <w:bCs/>
          <w:sz w:val="24"/>
          <w:szCs w:val="24"/>
        </w:rPr>
        <w:t>holding</w:t>
      </w:r>
      <w:r w:rsidR="0091772B" w:rsidRPr="00730321">
        <w:rPr>
          <w:sz w:val="24"/>
          <w:szCs w:val="24"/>
        </w:rPr>
        <w:t xml:space="preserve"> that the statute prohibiting simple possession of a controlled substance </w:t>
      </w:r>
      <w:r w:rsidR="004E08D6" w:rsidRPr="00730321">
        <w:rPr>
          <w:sz w:val="24"/>
          <w:szCs w:val="24"/>
        </w:rPr>
        <w:t>(PCS)</w:t>
      </w:r>
      <w:r w:rsidR="00DB41BC">
        <w:rPr>
          <w:sz w:val="24"/>
          <w:szCs w:val="24"/>
        </w:rPr>
        <w:t xml:space="preserve"> is</w:t>
      </w:r>
      <w:r w:rsidR="002A483E" w:rsidRPr="00730321">
        <w:rPr>
          <w:sz w:val="24"/>
          <w:szCs w:val="24"/>
        </w:rPr>
        <w:t xml:space="preserve"> </w:t>
      </w:r>
      <w:r w:rsidR="0091772B" w:rsidRPr="00730321">
        <w:rPr>
          <w:sz w:val="24"/>
          <w:szCs w:val="24"/>
        </w:rPr>
        <w:t>unconstitutional</w:t>
      </w:r>
      <w:r w:rsidR="00DB41BC">
        <w:rPr>
          <w:sz w:val="24"/>
          <w:szCs w:val="24"/>
        </w:rPr>
        <w:t xml:space="preserve">, </w:t>
      </w:r>
      <w:r w:rsidR="00DB41BC" w:rsidRPr="00730321">
        <w:rPr>
          <w:sz w:val="24"/>
          <w:szCs w:val="24"/>
        </w:rPr>
        <w:t>RCW 69.50.4013</w:t>
      </w:r>
      <w:r w:rsidR="0091772B" w:rsidRPr="00730321">
        <w:rPr>
          <w:sz w:val="24"/>
          <w:szCs w:val="24"/>
        </w:rPr>
        <w:t xml:space="preserve">. </w:t>
      </w:r>
      <w:r w:rsidRPr="00730321">
        <w:rPr>
          <w:sz w:val="24"/>
          <w:szCs w:val="24"/>
        </w:rPr>
        <w:t>I</w:t>
      </w:r>
      <w:r w:rsidR="0091772B" w:rsidRPr="00730321">
        <w:rPr>
          <w:sz w:val="24"/>
          <w:szCs w:val="24"/>
        </w:rPr>
        <w:t xml:space="preserve">ndividuals </w:t>
      </w:r>
      <w:r w:rsidR="00405A05" w:rsidRPr="00730321">
        <w:rPr>
          <w:sz w:val="24"/>
          <w:szCs w:val="24"/>
        </w:rPr>
        <w:t xml:space="preserve">previously convicted of PCS </w:t>
      </w:r>
      <w:r w:rsidR="00DB41BC">
        <w:rPr>
          <w:sz w:val="24"/>
          <w:szCs w:val="24"/>
        </w:rPr>
        <w:t>offense can move to</w:t>
      </w:r>
      <w:r w:rsidR="00405A05" w:rsidRPr="00730321">
        <w:rPr>
          <w:sz w:val="24"/>
          <w:szCs w:val="24"/>
        </w:rPr>
        <w:t xml:space="preserve"> vacate these </w:t>
      </w:r>
      <w:r w:rsidR="004E08D6" w:rsidRPr="00730321">
        <w:rPr>
          <w:sz w:val="24"/>
          <w:szCs w:val="24"/>
        </w:rPr>
        <w:t>prior convictions</w:t>
      </w:r>
      <w:r w:rsidR="00DB41BC">
        <w:rPr>
          <w:sz w:val="24"/>
          <w:szCs w:val="24"/>
        </w:rPr>
        <w:t xml:space="preserve"> and remove them from their criminal history. I</w:t>
      </w:r>
      <w:r w:rsidR="00405A05" w:rsidRPr="00730321">
        <w:rPr>
          <w:sz w:val="24"/>
          <w:szCs w:val="24"/>
        </w:rPr>
        <w:t>ndividuals with a PCS conviction that counted in their offender scor</w:t>
      </w:r>
      <w:r w:rsidR="002A483E" w:rsidRPr="00730321">
        <w:rPr>
          <w:sz w:val="24"/>
          <w:szCs w:val="24"/>
        </w:rPr>
        <w:t xml:space="preserve">e </w:t>
      </w:r>
      <w:r w:rsidR="00DB41BC">
        <w:rPr>
          <w:sz w:val="24"/>
          <w:szCs w:val="24"/>
        </w:rPr>
        <w:t xml:space="preserve">when sentenced </w:t>
      </w:r>
      <w:r w:rsidR="002A483E" w:rsidRPr="00730321">
        <w:rPr>
          <w:sz w:val="24"/>
          <w:szCs w:val="24"/>
        </w:rPr>
        <w:t>for other crimes are entitled to a</w:t>
      </w:r>
      <w:r w:rsidR="00405A05" w:rsidRPr="00730321">
        <w:rPr>
          <w:sz w:val="24"/>
          <w:szCs w:val="24"/>
        </w:rPr>
        <w:t xml:space="preserve"> </w:t>
      </w:r>
      <w:r w:rsidR="0091772B" w:rsidRPr="00730321">
        <w:rPr>
          <w:sz w:val="24"/>
          <w:szCs w:val="24"/>
        </w:rPr>
        <w:t>resentencing</w:t>
      </w:r>
      <w:r w:rsidR="004E08D6" w:rsidRPr="00730321">
        <w:rPr>
          <w:sz w:val="24"/>
          <w:szCs w:val="24"/>
        </w:rPr>
        <w:t xml:space="preserve"> </w:t>
      </w:r>
      <w:r w:rsidR="00405A05" w:rsidRPr="00730321">
        <w:rPr>
          <w:sz w:val="24"/>
          <w:szCs w:val="24"/>
        </w:rPr>
        <w:t>hearing</w:t>
      </w:r>
      <w:r w:rsidR="002A483E" w:rsidRPr="00730321">
        <w:rPr>
          <w:sz w:val="24"/>
          <w:szCs w:val="24"/>
        </w:rPr>
        <w:t xml:space="preserve"> with a corrected offender score and </w:t>
      </w:r>
      <w:r w:rsidR="00DB41BC">
        <w:rPr>
          <w:sz w:val="24"/>
          <w:szCs w:val="24"/>
        </w:rPr>
        <w:t xml:space="preserve">corrected </w:t>
      </w:r>
      <w:r w:rsidR="002A483E" w:rsidRPr="00730321">
        <w:rPr>
          <w:sz w:val="24"/>
          <w:szCs w:val="24"/>
        </w:rPr>
        <w:t>standard range</w:t>
      </w:r>
      <w:r w:rsidR="00405A05" w:rsidRPr="00730321">
        <w:rPr>
          <w:sz w:val="24"/>
          <w:szCs w:val="24"/>
        </w:rPr>
        <w:t>.</w:t>
      </w:r>
      <w:r w:rsidR="0091772B" w:rsidRPr="00730321">
        <w:rPr>
          <w:sz w:val="24"/>
          <w:szCs w:val="24"/>
        </w:rPr>
        <w:t xml:space="preserve"> </w:t>
      </w:r>
      <w:r w:rsidR="00DB41BC">
        <w:rPr>
          <w:sz w:val="24"/>
          <w:szCs w:val="24"/>
        </w:rPr>
        <w:t xml:space="preserve">The law is not clear whether individuals who have no change in their standard range are eligible to be resentenced pursuant to Blake.  </w:t>
      </w:r>
      <w:r w:rsidR="0091772B" w:rsidRPr="00730321">
        <w:rPr>
          <w:sz w:val="24"/>
          <w:szCs w:val="24"/>
        </w:rPr>
        <w:t xml:space="preserve">See the WDA </w:t>
      </w:r>
      <w:r w:rsidR="0091772B" w:rsidRPr="00730321">
        <w:rPr>
          <w:i/>
          <w:sz w:val="24"/>
          <w:szCs w:val="24"/>
        </w:rPr>
        <w:t>Blake</w:t>
      </w:r>
      <w:r w:rsidR="0091772B" w:rsidRPr="00730321">
        <w:rPr>
          <w:sz w:val="24"/>
          <w:szCs w:val="24"/>
        </w:rPr>
        <w:t xml:space="preserve"> page </w:t>
      </w:r>
      <w:hyperlink r:id="rId8" w:history="1">
        <w:r w:rsidR="0091772B" w:rsidRPr="00730321">
          <w:rPr>
            <w:rStyle w:val="Hyperlink"/>
            <w:sz w:val="24"/>
            <w:szCs w:val="24"/>
          </w:rPr>
          <w:t>here</w:t>
        </w:r>
      </w:hyperlink>
      <w:r w:rsidR="0091772B" w:rsidRPr="00730321">
        <w:rPr>
          <w:sz w:val="24"/>
          <w:szCs w:val="24"/>
        </w:rPr>
        <w:t xml:space="preserve"> </w:t>
      </w:r>
      <w:r w:rsidR="002A483E" w:rsidRPr="00730321">
        <w:rPr>
          <w:sz w:val="24"/>
          <w:szCs w:val="24"/>
        </w:rPr>
        <w:t>for additional information and related resources.</w:t>
      </w:r>
      <w:r w:rsidR="00C342F3" w:rsidRPr="00730321">
        <w:rPr>
          <w:b/>
          <w:sz w:val="24"/>
          <w:szCs w:val="24"/>
        </w:rPr>
        <w:t xml:space="preserve"> Many individuals who are eligible for resentencing pursuant to </w:t>
      </w:r>
      <w:r w:rsidR="00C342F3" w:rsidRPr="00730321">
        <w:rPr>
          <w:b/>
          <w:i/>
          <w:iCs/>
          <w:sz w:val="24"/>
          <w:szCs w:val="24"/>
        </w:rPr>
        <w:t>Blake</w:t>
      </w:r>
      <w:r w:rsidR="00C342F3" w:rsidRPr="00730321">
        <w:rPr>
          <w:b/>
          <w:sz w:val="24"/>
          <w:szCs w:val="24"/>
        </w:rPr>
        <w:t xml:space="preserve"> may have other resentencing issues and arguments as well.</w:t>
      </w:r>
    </w:p>
    <w:p w14:paraId="1B71B874" w14:textId="77777777" w:rsidR="00810216" w:rsidRPr="00730321" w:rsidRDefault="00810216" w:rsidP="00C342F3">
      <w:pPr>
        <w:spacing w:line="240" w:lineRule="auto"/>
        <w:contextualSpacing/>
        <w:rPr>
          <w:b/>
          <w:sz w:val="24"/>
          <w:szCs w:val="24"/>
          <w:u w:val="single"/>
        </w:rPr>
      </w:pPr>
    </w:p>
    <w:p w14:paraId="14972374" w14:textId="6DA21997" w:rsidR="00CC34D8" w:rsidRPr="00730321" w:rsidRDefault="008F5FB0" w:rsidP="00C342F3">
      <w:pPr>
        <w:spacing w:line="240" w:lineRule="auto"/>
        <w:contextualSpacing/>
        <w:rPr>
          <w:rStyle w:val="Hyperlink"/>
          <w:sz w:val="24"/>
          <w:szCs w:val="24"/>
        </w:rPr>
      </w:pPr>
      <w:r w:rsidRPr="00730321">
        <w:rPr>
          <w:b/>
          <w:sz w:val="24"/>
          <w:szCs w:val="24"/>
          <w:u w:val="single"/>
        </w:rPr>
        <w:t>Three Strikes Reform</w:t>
      </w:r>
      <w:r w:rsidRPr="00730321">
        <w:rPr>
          <w:sz w:val="24"/>
          <w:szCs w:val="24"/>
        </w:rPr>
        <w:t xml:space="preserve"> </w:t>
      </w:r>
      <w:r w:rsidR="0035438A" w:rsidRPr="00730321">
        <w:rPr>
          <w:sz w:val="24"/>
          <w:szCs w:val="24"/>
        </w:rPr>
        <w:t>– “5164”/Rob</w:t>
      </w:r>
      <w:r w:rsidR="00C342F3" w:rsidRPr="00730321">
        <w:rPr>
          <w:sz w:val="24"/>
          <w:szCs w:val="24"/>
        </w:rPr>
        <w:t>bery</w:t>
      </w:r>
      <w:r w:rsidR="0035438A" w:rsidRPr="00730321">
        <w:rPr>
          <w:sz w:val="24"/>
          <w:szCs w:val="24"/>
        </w:rPr>
        <w:t xml:space="preserve"> 2 Removed from </w:t>
      </w:r>
      <w:r w:rsidR="00C342F3" w:rsidRPr="00730321">
        <w:rPr>
          <w:sz w:val="24"/>
          <w:szCs w:val="24"/>
        </w:rPr>
        <w:t xml:space="preserve">“Three </w:t>
      </w:r>
      <w:r w:rsidR="0035438A" w:rsidRPr="00730321">
        <w:rPr>
          <w:sz w:val="24"/>
          <w:szCs w:val="24"/>
        </w:rPr>
        <w:t>Strikes</w:t>
      </w:r>
      <w:r w:rsidR="00C342F3" w:rsidRPr="00730321">
        <w:rPr>
          <w:sz w:val="24"/>
          <w:szCs w:val="24"/>
        </w:rPr>
        <w:t>”</w:t>
      </w:r>
      <w:r w:rsidR="0050510C" w:rsidRPr="00730321">
        <w:rPr>
          <w:sz w:val="24"/>
          <w:szCs w:val="24"/>
        </w:rPr>
        <w:t xml:space="preserve"> </w:t>
      </w:r>
      <w:hyperlink r:id="rId9" w:history="1">
        <w:r w:rsidR="0050510C" w:rsidRPr="00730321">
          <w:rPr>
            <w:rStyle w:val="Hyperlink"/>
            <w:sz w:val="24"/>
            <w:szCs w:val="24"/>
          </w:rPr>
          <w:t>RCW 9.94A.647</w:t>
        </w:r>
      </w:hyperlink>
    </w:p>
    <w:p w14:paraId="0537E2F3" w14:textId="30ACE8C3" w:rsidR="008F5FB0" w:rsidRPr="00730321" w:rsidRDefault="0091772B" w:rsidP="00C342F3">
      <w:pPr>
        <w:spacing w:line="240" w:lineRule="auto"/>
        <w:contextualSpacing/>
        <w:rPr>
          <w:sz w:val="24"/>
          <w:szCs w:val="24"/>
        </w:rPr>
      </w:pPr>
      <w:r w:rsidRPr="00730321">
        <w:rPr>
          <w:sz w:val="24"/>
          <w:szCs w:val="24"/>
        </w:rPr>
        <w:t xml:space="preserve">In 2019, the Washington Legislature passed bill 5288, removing </w:t>
      </w:r>
      <w:r w:rsidR="008F5FB0" w:rsidRPr="00730321">
        <w:rPr>
          <w:sz w:val="24"/>
          <w:szCs w:val="24"/>
        </w:rPr>
        <w:t xml:space="preserve">of robbery in the second degree from </w:t>
      </w:r>
      <w:r w:rsidRPr="00730321">
        <w:rPr>
          <w:sz w:val="24"/>
          <w:szCs w:val="24"/>
        </w:rPr>
        <w:t xml:space="preserve">three strikes by removing it from </w:t>
      </w:r>
      <w:r w:rsidR="008F5FB0" w:rsidRPr="00730321">
        <w:rPr>
          <w:sz w:val="24"/>
          <w:szCs w:val="24"/>
        </w:rPr>
        <w:t>the definition of “most serious offense”</w:t>
      </w:r>
      <w:r w:rsidRPr="00730321">
        <w:rPr>
          <w:sz w:val="24"/>
          <w:szCs w:val="24"/>
        </w:rPr>
        <w:t xml:space="preserve"> in RCW 9.94A.030.</w:t>
      </w:r>
      <w:r w:rsidR="008F5FB0" w:rsidRPr="00730321">
        <w:rPr>
          <w:sz w:val="24"/>
          <w:szCs w:val="24"/>
        </w:rPr>
        <w:t xml:space="preserve"> </w:t>
      </w:r>
      <w:r w:rsidRPr="00730321">
        <w:rPr>
          <w:sz w:val="24"/>
          <w:szCs w:val="24"/>
        </w:rPr>
        <w:t xml:space="preserve">In 2021, the Washington Legislature passed bill 5164 making this change retroactive. </w:t>
      </w:r>
      <w:r w:rsidR="00DB41BC">
        <w:rPr>
          <w:sz w:val="24"/>
          <w:szCs w:val="24"/>
        </w:rPr>
        <w:t>A</w:t>
      </w:r>
      <w:r w:rsidR="00405A05" w:rsidRPr="00730321">
        <w:rPr>
          <w:sz w:val="24"/>
          <w:szCs w:val="24"/>
        </w:rPr>
        <w:t xml:space="preserve"> new section </w:t>
      </w:r>
      <w:r w:rsidR="00DB41BC">
        <w:rPr>
          <w:sz w:val="24"/>
          <w:szCs w:val="24"/>
        </w:rPr>
        <w:t xml:space="preserve">was added </w:t>
      </w:r>
      <w:r w:rsidR="00A041A0" w:rsidRPr="00730321">
        <w:rPr>
          <w:sz w:val="24"/>
          <w:szCs w:val="24"/>
        </w:rPr>
        <w:t>t</w:t>
      </w:r>
      <w:r w:rsidR="00405A05" w:rsidRPr="00730321">
        <w:rPr>
          <w:sz w:val="24"/>
          <w:szCs w:val="24"/>
        </w:rPr>
        <w:t xml:space="preserve">o the SRA requiring resentencing </w:t>
      </w:r>
      <w:r w:rsidR="00DB41BC">
        <w:rPr>
          <w:sz w:val="24"/>
          <w:szCs w:val="24"/>
        </w:rPr>
        <w:t>i</w:t>
      </w:r>
      <w:r w:rsidR="00405A05" w:rsidRPr="00730321">
        <w:rPr>
          <w:sz w:val="24"/>
          <w:szCs w:val="24"/>
        </w:rPr>
        <w:t xml:space="preserve">n any case in which an individual has been sentenced as a persistent offender “if a current or past conviction for robbery in the second degree was used as a basis for the finding that the offender was a persistent offender.” </w:t>
      </w:r>
      <w:r w:rsidR="008F5FB0" w:rsidRPr="00730321">
        <w:rPr>
          <w:sz w:val="24"/>
          <w:szCs w:val="24"/>
        </w:rPr>
        <w:t xml:space="preserve">See the full WDA Practice Advisory </w:t>
      </w:r>
      <w:hyperlink r:id="rId10" w:history="1">
        <w:r w:rsidR="008F5FB0" w:rsidRPr="00730321">
          <w:rPr>
            <w:rStyle w:val="Hyperlink"/>
            <w:sz w:val="24"/>
            <w:szCs w:val="24"/>
          </w:rPr>
          <w:t>here</w:t>
        </w:r>
      </w:hyperlink>
      <w:r w:rsidR="008F5FB0" w:rsidRPr="00730321">
        <w:rPr>
          <w:sz w:val="24"/>
          <w:szCs w:val="24"/>
        </w:rPr>
        <w:t xml:space="preserve">. </w:t>
      </w:r>
    </w:p>
    <w:p w14:paraId="71516D07" w14:textId="77777777" w:rsidR="000A64A2" w:rsidRPr="00730321" w:rsidRDefault="000A64A2" w:rsidP="000A64A2">
      <w:pPr>
        <w:spacing w:line="240" w:lineRule="auto"/>
        <w:contextualSpacing/>
        <w:rPr>
          <w:b/>
          <w:sz w:val="24"/>
          <w:szCs w:val="24"/>
          <w:u w:val="single"/>
        </w:rPr>
      </w:pPr>
    </w:p>
    <w:p w14:paraId="7E1826F3" w14:textId="6C253CE4" w:rsidR="000A64A2" w:rsidRPr="00730321" w:rsidRDefault="006B07F5" w:rsidP="000A64A2">
      <w:pPr>
        <w:spacing w:line="240" w:lineRule="auto"/>
        <w:contextualSpacing/>
        <w:rPr>
          <w:b/>
          <w:sz w:val="24"/>
          <w:szCs w:val="24"/>
          <w:u w:val="single"/>
        </w:rPr>
      </w:pPr>
      <w:r>
        <w:rPr>
          <w:b/>
          <w:sz w:val="24"/>
          <w:szCs w:val="24"/>
          <w:u w:val="single"/>
        </w:rPr>
        <w:t>“</w:t>
      </w:r>
      <w:r w:rsidR="000A64A2" w:rsidRPr="00730321">
        <w:rPr>
          <w:b/>
          <w:sz w:val="24"/>
          <w:szCs w:val="24"/>
          <w:u w:val="single"/>
        </w:rPr>
        <w:t>6164</w:t>
      </w:r>
      <w:r>
        <w:rPr>
          <w:b/>
          <w:sz w:val="24"/>
          <w:szCs w:val="24"/>
          <w:u w:val="single"/>
        </w:rPr>
        <w:t>”</w:t>
      </w:r>
      <w:r w:rsidR="000A64A2" w:rsidRPr="00730321">
        <w:rPr>
          <w:b/>
          <w:sz w:val="24"/>
          <w:szCs w:val="24"/>
          <w:u w:val="single"/>
        </w:rPr>
        <w:t xml:space="preserve">- </w:t>
      </w:r>
      <w:r w:rsidR="00C0591F" w:rsidRPr="00730321">
        <w:rPr>
          <w:b/>
          <w:sz w:val="24"/>
          <w:szCs w:val="24"/>
          <w:u w:val="single"/>
        </w:rPr>
        <w:t>Prosecutor Initiated Resentencing</w:t>
      </w:r>
      <w:r w:rsidR="00A041A0" w:rsidRPr="00730321">
        <w:rPr>
          <w:b/>
          <w:sz w:val="24"/>
          <w:szCs w:val="24"/>
          <w:u w:val="single"/>
        </w:rPr>
        <w:t xml:space="preserve"> in the Interest of Justice</w:t>
      </w:r>
      <w:r w:rsidR="00C0591F" w:rsidRPr="00730321">
        <w:rPr>
          <w:b/>
          <w:sz w:val="24"/>
          <w:szCs w:val="24"/>
          <w:u w:val="single"/>
        </w:rPr>
        <w:t xml:space="preserve"> </w:t>
      </w:r>
      <w:hyperlink r:id="rId11" w:history="1">
        <w:r w:rsidR="000A64A2" w:rsidRPr="00730321">
          <w:rPr>
            <w:rStyle w:val="Hyperlink"/>
            <w:b/>
            <w:sz w:val="24"/>
            <w:szCs w:val="24"/>
          </w:rPr>
          <w:t>RCW 36.27.130</w:t>
        </w:r>
      </w:hyperlink>
    </w:p>
    <w:p w14:paraId="7ECA4FE9" w14:textId="104D8D7F" w:rsidR="000A64A2" w:rsidRPr="00730321" w:rsidRDefault="000A64A2" w:rsidP="000A64A2">
      <w:pPr>
        <w:spacing w:line="240" w:lineRule="auto"/>
        <w:contextualSpacing/>
        <w:rPr>
          <w:sz w:val="24"/>
          <w:szCs w:val="24"/>
        </w:rPr>
      </w:pPr>
      <w:r w:rsidRPr="00730321">
        <w:rPr>
          <w:sz w:val="24"/>
          <w:szCs w:val="24"/>
        </w:rPr>
        <w:lastRenderedPageBreak/>
        <w:t xml:space="preserve">In 2020, the Washington Legislature passed SB 6164, creating a new procedure for prosecutors to petition a sentencing court (or the court’s successor) to resentence an individual previously convicted and already sentenced for a felony </w:t>
      </w:r>
      <w:r w:rsidRPr="00730321">
        <w:rPr>
          <w:i/>
          <w:sz w:val="24"/>
          <w:szCs w:val="24"/>
        </w:rPr>
        <w:t>“if the original sentence no longer serves the interests of justice.”</w:t>
      </w:r>
      <w:r w:rsidRPr="00730321">
        <w:rPr>
          <w:sz w:val="24"/>
          <w:szCs w:val="24"/>
        </w:rPr>
        <w:t xml:space="preserve">  The trial court has discretion to grant or deny the petition. If the court grants the petition, the individual receives a new sentencing hearing. The court will resentence the individual “as if they have not previously been sentenced.” The new sentence cannot be greater than the original sentence.</w:t>
      </w:r>
      <w:r w:rsidR="00A041A0" w:rsidRPr="00730321">
        <w:rPr>
          <w:sz w:val="24"/>
          <w:szCs w:val="24"/>
        </w:rPr>
        <w:t xml:space="preserve"> </w:t>
      </w:r>
      <w:r w:rsidRPr="00730321">
        <w:rPr>
          <w:sz w:val="24"/>
          <w:szCs w:val="24"/>
        </w:rPr>
        <w:t xml:space="preserve">The bill did not provide for appointment of defense counsel. See the full WDA Practice Advisory </w:t>
      </w:r>
      <w:hyperlink r:id="rId12" w:history="1">
        <w:r w:rsidRPr="00730321">
          <w:rPr>
            <w:rStyle w:val="Hyperlink"/>
            <w:sz w:val="24"/>
            <w:szCs w:val="24"/>
          </w:rPr>
          <w:t>here</w:t>
        </w:r>
      </w:hyperlink>
      <w:r w:rsidRPr="00730321">
        <w:rPr>
          <w:rStyle w:val="Hyperlink"/>
          <w:sz w:val="24"/>
          <w:szCs w:val="24"/>
        </w:rPr>
        <w:t xml:space="preserve">. </w:t>
      </w:r>
    </w:p>
    <w:p w14:paraId="26D5AD2E" w14:textId="77777777" w:rsidR="00810216" w:rsidRPr="00730321" w:rsidRDefault="00810216" w:rsidP="00C342F3">
      <w:pPr>
        <w:spacing w:line="240" w:lineRule="auto"/>
        <w:contextualSpacing/>
        <w:rPr>
          <w:b/>
          <w:i/>
          <w:sz w:val="24"/>
          <w:szCs w:val="24"/>
          <w:u w:val="single"/>
        </w:rPr>
      </w:pPr>
    </w:p>
    <w:p w14:paraId="4C0A3488" w14:textId="09048FA7" w:rsidR="00155ACC" w:rsidRPr="00730321" w:rsidRDefault="0091772B" w:rsidP="00C342F3">
      <w:pPr>
        <w:spacing w:line="240" w:lineRule="auto"/>
        <w:contextualSpacing/>
        <w:rPr>
          <w:sz w:val="24"/>
          <w:szCs w:val="24"/>
        </w:rPr>
      </w:pPr>
      <w:r w:rsidRPr="00730321">
        <w:rPr>
          <w:b/>
          <w:i/>
          <w:sz w:val="24"/>
          <w:szCs w:val="24"/>
          <w:u w:val="single"/>
        </w:rPr>
        <w:t>I</w:t>
      </w:r>
      <w:r w:rsidR="00B21BBE" w:rsidRPr="00730321">
        <w:rPr>
          <w:b/>
          <w:i/>
          <w:sz w:val="24"/>
          <w:szCs w:val="24"/>
          <w:u w:val="single"/>
        </w:rPr>
        <w:t>n re Domingo-Cornelio</w:t>
      </w:r>
      <w:r w:rsidR="00A041A0" w:rsidRPr="00730321">
        <w:rPr>
          <w:b/>
          <w:i/>
          <w:sz w:val="24"/>
          <w:szCs w:val="24"/>
          <w:u w:val="single"/>
        </w:rPr>
        <w:t xml:space="preserve">, </w:t>
      </w:r>
      <w:r w:rsidR="00B21BBE" w:rsidRPr="00730321">
        <w:rPr>
          <w:b/>
          <w:i/>
          <w:sz w:val="24"/>
          <w:szCs w:val="24"/>
          <w:u w:val="single"/>
        </w:rPr>
        <w:t>In re Ali</w:t>
      </w:r>
      <w:r w:rsidR="00A041A0" w:rsidRPr="00730321">
        <w:rPr>
          <w:b/>
          <w:i/>
          <w:sz w:val="24"/>
          <w:szCs w:val="24"/>
          <w:u w:val="single"/>
        </w:rPr>
        <w:t xml:space="preserve">: </w:t>
      </w:r>
      <w:r w:rsidR="00C0591F" w:rsidRPr="00730321">
        <w:rPr>
          <w:b/>
          <w:i/>
          <w:sz w:val="24"/>
          <w:szCs w:val="24"/>
          <w:u w:val="single"/>
        </w:rPr>
        <w:t xml:space="preserve">State v. </w:t>
      </w:r>
      <w:r w:rsidR="00633702" w:rsidRPr="00730321">
        <w:rPr>
          <w:b/>
          <w:i/>
          <w:iCs/>
          <w:sz w:val="24"/>
          <w:szCs w:val="24"/>
          <w:u w:val="single"/>
        </w:rPr>
        <w:t>Houston</w:t>
      </w:r>
      <w:r w:rsidR="00810216" w:rsidRPr="00730321">
        <w:rPr>
          <w:b/>
          <w:i/>
          <w:iCs/>
          <w:sz w:val="24"/>
          <w:szCs w:val="24"/>
          <w:u w:val="single"/>
        </w:rPr>
        <w:t>-</w:t>
      </w:r>
      <w:r w:rsidR="00633702" w:rsidRPr="00730321">
        <w:rPr>
          <w:b/>
          <w:i/>
          <w:iCs/>
          <w:sz w:val="24"/>
          <w:szCs w:val="24"/>
          <w:u w:val="single"/>
        </w:rPr>
        <w:t>Sconiers</w:t>
      </w:r>
      <w:r w:rsidR="00633702" w:rsidRPr="00730321">
        <w:rPr>
          <w:b/>
          <w:sz w:val="24"/>
          <w:szCs w:val="24"/>
          <w:u w:val="single"/>
        </w:rPr>
        <w:t xml:space="preserve"> is retroactive</w:t>
      </w:r>
      <w:r w:rsidR="00B21BBE" w:rsidRPr="00730321">
        <w:rPr>
          <w:sz w:val="24"/>
          <w:szCs w:val="24"/>
        </w:rPr>
        <w:t xml:space="preserve"> </w:t>
      </w:r>
    </w:p>
    <w:p w14:paraId="4C6501F3" w14:textId="21415A3E" w:rsidR="00B92214" w:rsidRPr="00730321" w:rsidRDefault="00155ACC" w:rsidP="00C342F3">
      <w:pPr>
        <w:spacing w:line="240" w:lineRule="auto"/>
        <w:contextualSpacing/>
        <w:rPr>
          <w:sz w:val="24"/>
          <w:szCs w:val="24"/>
        </w:rPr>
      </w:pPr>
      <w:r w:rsidRPr="00730321">
        <w:rPr>
          <w:sz w:val="24"/>
          <w:szCs w:val="24"/>
        </w:rPr>
        <w:t>On Sept. 25, 2020, the Washington Supreme Court decided</w:t>
      </w:r>
      <w:r w:rsidR="00DB41BC">
        <w:rPr>
          <w:sz w:val="24"/>
          <w:szCs w:val="24"/>
        </w:rPr>
        <w:t xml:space="preserve"> two significant cases</w:t>
      </w:r>
      <w:r w:rsidRPr="00730321">
        <w:rPr>
          <w:sz w:val="24"/>
          <w:szCs w:val="24"/>
        </w:rPr>
        <w:t xml:space="preserve">, </w:t>
      </w:r>
      <w:r w:rsidR="00D34592" w:rsidRPr="00730321">
        <w:rPr>
          <w:rFonts w:cstheme="minorHAnsi"/>
          <w:i/>
          <w:sz w:val="24"/>
          <w:szCs w:val="24"/>
        </w:rPr>
        <w:t>In re PRP Domingo-Cornelio</w:t>
      </w:r>
      <w:r w:rsidR="00D34592" w:rsidRPr="00730321">
        <w:rPr>
          <w:rFonts w:cstheme="minorHAnsi"/>
          <w:sz w:val="24"/>
          <w:szCs w:val="24"/>
        </w:rPr>
        <w:t xml:space="preserve">, 196 Wn.2d 255, 474 P.3d 524 (2020) and </w:t>
      </w:r>
      <w:bookmarkStart w:id="0" w:name="_Hlk103587881"/>
      <w:r w:rsidR="00D34592" w:rsidRPr="00730321">
        <w:rPr>
          <w:rFonts w:cstheme="minorHAnsi"/>
          <w:i/>
          <w:sz w:val="24"/>
          <w:szCs w:val="24"/>
        </w:rPr>
        <w:t>In re PRP Ali</w:t>
      </w:r>
      <w:r w:rsidR="00D34592" w:rsidRPr="00730321">
        <w:rPr>
          <w:rFonts w:cstheme="minorHAnsi"/>
          <w:sz w:val="24"/>
          <w:szCs w:val="24"/>
        </w:rPr>
        <w:t>, 196 Wn.2d 220, 474 P.3d 507 (2020)</w:t>
      </w:r>
      <w:bookmarkEnd w:id="0"/>
      <w:r w:rsidR="00D34592" w:rsidRPr="00730321">
        <w:rPr>
          <w:rFonts w:cstheme="minorHAnsi"/>
          <w:sz w:val="24"/>
          <w:szCs w:val="24"/>
        </w:rPr>
        <w:t xml:space="preserve">, </w:t>
      </w:r>
      <w:r w:rsidRPr="00730321">
        <w:rPr>
          <w:sz w:val="24"/>
          <w:szCs w:val="24"/>
        </w:rPr>
        <w:t xml:space="preserve">holding that </w:t>
      </w:r>
      <w:r w:rsidRPr="00730321">
        <w:rPr>
          <w:i/>
          <w:sz w:val="24"/>
          <w:szCs w:val="24"/>
        </w:rPr>
        <w:t>State v. Houston-Sconiers</w:t>
      </w:r>
      <w:r w:rsidR="00D34592" w:rsidRPr="00730321">
        <w:rPr>
          <w:i/>
          <w:sz w:val="24"/>
          <w:szCs w:val="24"/>
        </w:rPr>
        <w:t xml:space="preserve">, </w:t>
      </w:r>
      <w:r w:rsidR="00D34592" w:rsidRPr="00730321">
        <w:rPr>
          <w:rFonts w:cstheme="minorHAnsi"/>
          <w:sz w:val="24"/>
          <w:szCs w:val="24"/>
        </w:rPr>
        <w:t>188 Wn.2d 1, 391 P.3d. 409</w:t>
      </w:r>
      <w:r w:rsidRPr="00730321">
        <w:rPr>
          <w:sz w:val="24"/>
          <w:szCs w:val="24"/>
        </w:rPr>
        <w:t xml:space="preserve"> (2017) is a significant and material change in the law that must be applied retroactively</w:t>
      </w:r>
      <w:r w:rsidRPr="00730321">
        <w:rPr>
          <w:i/>
          <w:sz w:val="24"/>
          <w:szCs w:val="24"/>
        </w:rPr>
        <w:t xml:space="preserve">. </w:t>
      </w:r>
      <w:r w:rsidR="00DB41BC">
        <w:rPr>
          <w:i/>
          <w:sz w:val="24"/>
          <w:szCs w:val="24"/>
        </w:rPr>
        <w:t xml:space="preserve">State v. </w:t>
      </w:r>
      <w:r w:rsidRPr="00730321">
        <w:rPr>
          <w:i/>
          <w:sz w:val="24"/>
          <w:szCs w:val="24"/>
        </w:rPr>
        <w:t>Houston-Sconiers</w:t>
      </w:r>
      <w:r w:rsidRPr="00730321">
        <w:rPr>
          <w:sz w:val="24"/>
          <w:szCs w:val="24"/>
        </w:rPr>
        <w:t xml:space="preserve"> </w:t>
      </w:r>
      <w:r w:rsidR="00A40E04">
        <w:rPr>
          <w:sz w:val="24"/>
          <w:szCs w:val="24"/>
        </w:rPr>
        <w:t>requires</w:t>
      </w:r>
      <w:r w:rsidRPr="00730321">
        <w:rPr>
          <w:sz w:val="24"/>
          <w:szCs w:val="24"/>
        </w:rPr>
        <w:t xml:space="preserve"> trial courts </w:t>
      </w:r>
      <w:r w:rsidR="00A40E04">
        <w:rPr>
          <w:sz w:val="24"/>
          <w:szCs w:val="24"/>
        </w:rPr>
        <w:t>to consider the qualities of youth and to</w:t>
      </w:r>
      <w:r w:rsidRPr="00730321">
        <w:rPr>
          <w:sz w:val="24"/>
          <w:szCs w:val="24"/>
        </w:rPr>
        <w:t xml:space="preserve"> exercise discretion when se</w:t>
      </w:r>
      <w:r w:rsidR="00405A05" w:rsidRPr="00730321">
        <w:rPr>
          <w:sz w:val="24"/>
          <w:szCs w:val="24"/>
        </w:rPr>
        <w:t>ntencing a child in adult court</w:t>
      </w:r>
      <w:r w:rsidR="00A40E04">
        <w:rPr>
          <w:sz w:val="24"/>
          <w:szCs w:val="24"/>
        </w:rPr>
        <w:t xml:space="preserve"> and </w:t>
      </w:r>
      <w:r w:rsidR="00405A05" w:rsidRPr="00730321">
        <w:rPr>
          <w:sz w:val="24"/>
          <w:szCs w:val="24"/>
        </w:rPr>
        <w:t xml:space="preserve">courts </w:t>
      </w:r>
      <w:r w:rsidR="00A40E04">
        <w:rPr>
          <w:sz w:val="24"/>
          <w:szCs w:val="24"/>
        </w:rPr>
        <w:t>may</w:t>
      </w:r>
      <w:r w:rsidRPr="00730321">
        <w:rPr>
          <w:sz w:val="24"/>
          <w:szCs w:val="24"/>
        </w:rPr>
        <w:t xml:space="preserve"> depart from mandatory sentencing provisions of the SRA</w:t>
      </w:r>
      <w:r w:rsidR="00405A05" w:rsidRPr="00730321">
        <w:rPr>
          <w:sz w:val="24"/>
          <w:szCs w:val="24"/>
        </w:rPr>
        <w:t xml:space="preserve"> such as enhancements and mandatory minimum terms</w:t>
      </w:r>
      <w:r w:rsidRPr="00730321">
        <w:rPr>
          <w:sz w:val="24"/>
          <w:szCs w:val="24"/>
        </w:rPr>
        <w:t>.</w:t>
      </w:r>
      <w:r w:rsidR="004D7388" w:rsidRPr="00730321">
        <w:rPr>
          <w:rFonts w:cstheme="minorHAnsi"/>
          <w:sz w:val="24"/>
          <w:szCs w:val="24"/>
        </w:rPr>
        <w:t xml:space="preserve"> </w:t>
      </w:r>
      <w:r w:rsidR="00A40E04">
        <w:rPr>
          <w:rFonts w:cstheme="minorHAnsi"/>
          <w:sz w:val="24"/>
          <w:szCs w:val="24"/>
        </w:rPr>
        <w:t>Subsequently, t</w:t>
      </w:r>
      <w:r w:rsidR="0051172C" w:rsidRPr="00730321">
        <w:rPr>
          <w:sz w:val="24"/>
          <w:szCs w:val="24"/>
        </w:rPr>
        <w:t xml:space="preserve">he Washington Supreme Court decided </w:t>
      </w:r>
      <w:r w:rsidR="0051172C" w:rsidRPr="00730321">
        <w:rPr>
          <w:i/>
          <w:iCs/>
          <w:sz w:val="24"/>
          <w:szCs w:val="24"/>
        </w:rPr>
        <w:t>In re Hinton</w:t>
      </w:r>
      <w:r w:rsidR="0051172C" w:rsidRPr="00730321">
        <w:rPr>
          <w:sz w:val="24"/>
          <w:szCs w:val="24"/>
        </w:rPr>
        <w:t xml:space="preserve"> and</w:t>
      </w:r>
      <w:r w:rsidR="0051172C" w:rsidRPr="00730321">
        <w:rPr>
          <w:i/>
          <w:iCs/>
          <w:sz w:val="24"/>
          <w:szCs w:val="24"/>
        </w:rPr>
        <w:t xml:space="preserve"> In re Carasco</w:t>
      </w:r>
      <w:r w:rsidR="0051172C" w:rsidRPr="00730321">
        <w:rPr>
          <w:sz w:val="24"/>
          <w:szCs w:val="24"/>
        </w:rPr>
        <w:t xml:space="preserve"> on March 9, 2023, holding that the juvenile early release provision of the SRA, RCW 9.94A.730, is an adequate remedy</w:t>
      </w:r>
      <w:r w:rsidR="00A40E04">
        <w:rPr>
          <w:sz w:val="24"/>
          <w:szCs w:val="24"/>
        </w:rPr>
        <w:t xml:space="preserve"> for many of the individuals impacted by Domingo-Cornelio and Ali</w:t>
      </w:r>
      <w:r w:rsidR="00BA15E4">
        <w:rPr>
          <w:sz w:val="24"/>
          <w:szCs w:val="24"/>
        </w:rPr>
        <w:t xml:space="preserve"> who are serving long sentences</w:t>
      </w:r>
      <w:r w:rsidR="0051172C" w:rsidRPr="00730321">
        <w:rPr>
          <w:sz w:val="24"/>
          <w:szCs w:val="24"/>
        </w:rPr>
        <w:t>, precluding relief via PRP beyond the one year time bar for individuals who were children.</w:t>
      </w:r>
      <w:r w:rsidR="00A40E04" w:rsidRPr="00A40E04">
        <w:rPr>
          <w:rFonts w:cstheme="minorHAnsi"/>
          <w:sz w:val="24"/>
          <w:szCs w:val="24"/>
        </w:rPr>
        <w:t xml:space="preserve"> </w:t>
      </w:r>
      <w:r w:rsidR="00A40E04">
        <w:rPr>
          <w:rFonts w:cstheme="minorHAnsi"/>
          <w:sz w:val="24"/>
          <w:szCs w:val="24"/>
        </w:rPr>
        <w:t>It remains unclear which i</w:t>
      </w:r>
      <w:r w:rsidR="00A40E04" w:rsidRPr="00730321">
        <w:rPr>
          <w:rFonts w:cstheme="minorHAnsi"/>
          <w:sz w:val="24"/>
          <w:szCs w:val="24"/>
        </w:rPr>
        <w:t xml:space="preserve">ndividuals sentenced prior to </w:t>
      </w:r>
      <w:r w:rsidR="00A40E04">
        <w:rPr>
          <w:rFonts w:cstheme="minorHAnsi"/>
          <w:sz w:val="24"/>
          <w:szCs w:val="24"/>
        </w:rPr>
        <w:t xml:space="preserve">the </w:t>
      </w:r>
      <w:r w:rsidR="00A40E04" w:rsidRPr="00DB41BC">
        <w:rPr>
          <w:rFonts w:cstheme="minorHAnsi"/>
          <w:i/>
          <w:iCs/>
          <w:sz w:val="24"/>
          <w:szCs w:val="24"/>
        </w:rPr>
        <w:t>Houston-Sconiers</w:t>
      </w:r>
      <w:r w:rsidR="00A40E04">
        <w:rPr>
          <w:rFonts w:cstheme="minorHAnsi"/>
          <w:sz w:val="24"/>
          <w:szCs w:val="24"/>
        </w:rPr>
        <w:t xml:space="preserve"> decision (</w:t>
      </w:r>
      <w:r w:rsidR="00A40E04" w:rsidRPr="00730321">
        <w:rPr>
          <w:rFonts w:cstheme="minorHAnsi"/>
          <w:sz w:val="24"/>
          <w:szCs w:val="24"/>
        </w:rPr>
        <w:t>March 2, 2017</w:t>
      </w:r>
      <w:r w:rsidR="00A40E04">
        <w:rPr>
          <w:rFonts w:cstheme="minorHAnsi"/>
          <w:sz w:val="24"/>
          <w:szCs w:val="24"/>
        </w:rPr>
        <w:t>)</w:t>
      </w:r>
      <w:r w:rsidR="00A40E04" w:rsidRPr="00730321">
        <w:rPr>
          <w:rFonts w:cstheme="minorHAnsi"/>
          <w:sz w:val="24"/>
          <w:szCs w:val="24"/>
        </w:rPr>
        <w:t xml:space="preserve"> can </w:t>
      </w:r>
      <w:r w:rsidR="00A40E04">
        <w:rPr>
          <w:rFonts w:cstheme="minorHAnsi"/>
          <w:sz w:val="24"/>
          <w:szCs w:val="24"/>
        </w:rPr>
        <w:t xml:space="preserve">successfully </w:t>
      </w:r>
      <w:r w:rsidR="00A40E04" w:rsidRPr="00730321">
        <w:rPr>
          <w:rFonts w:cstheme="minorHAnsi"/>
          <w:sz w:val="24"/>
          <w:szCs w:val="24"/>
        </w:rPr>
        <w:t xml:space="preserve">petition for a resentencing hearing where the trial court </w:t>
      </w:r>
      <w:r w:rsidR="00A40E04">
        <w:rPr>
          <w:rFonts w:cstheme="minorHAnsi"/>
          <w:sz w:val="24"/>
          <w:szCs w:val="24"/>
        </w:rPr>
        <w:t xml:space="preserve">will </w:t>
      </w:r>
      <w:r w:rsidR="00A40E04" w:rsidRPr="00730321">
        <w:rPr>
          <w:rFonts w:cstheme="minorHAnsi"/>
          <w:sz w:val="24"/>
          <w:szCs w:val="24"/>
        </w:rPr>
        <w:t>consider</w:t>
      </w:r>
      <w:r w:rsidR="00A40E04">
        <w:rPr>
          <w:rFonts w:cstheme="minorHAnsi"/>
          <w:sz w:val="24"/>
          <w:szCs w:val="24"/>
        </w:rPr>
        <w:t xml:space="preserve"> </w:t>
      </w:r>
      <w:r w:rsidR="00A40E04" w:rsidRPr="00730321">
        <w:rPr>
          <w:rFonts w:cstheme="minorHAnsi"/>
          <w:sz w:val="24"/>
          <w:szCs w:val="24"/>
        </w:rPr>
        <w:t xml:space="preserve">important factors </w:t>
      </w:r>
      <w:r w:rsidR="00A40E04">
        <w:rPr>
          <w:rFonts w:cstheme="minorHAnsi"/>
          <w:sz w:val="24"/>
          <w:szCs w:val="24"/>
        </w:rPr>
        <w:t>related to youth and individual circumstances.</w:t>
      </w:r>
    </w:p>
    <w:p w14:paraId="1E30D6C9" w14:textId="77777777" w:rsidR="0051172C" w:rsidRPr="00730321" w:rsidRDefault="0051172C" w:rsidP="00C342F3">
      <w:pPr>
        <w:spacing w:line="240" w:lineRule="auto"/>
        <w:contextualSpacing/>
        <w:rPr>
          <w:b/>
          <w:i/>
          <w:sz w:val="24"/>
          <w:szCs w:val="24"/>
          <w:u w:val="single"/>
        </w:rPr>
      </w:pPr>
    </w:p>
    <w:p w14:paraId="4030A1A7" w14:textId="28534954" w:rsidR="0035438A" w:rsidRPr="00730321" w:rsidRDefault="0035438A" w:rsidP="00C342F3">
      <w:pPr>
        <w:spacing w:line="240" w:lineRule="auto"/>
        <w:contextualSpacing/>
        <w:rPr>
          <w:b/>
          <w:i/>
          <w:sz w:val="24"/>
          <w:szCs w:val="24"/>
          <w:u w:val="single"/>
        </w:rPr>
      </w:pPr>
      <w:r w:rsidRPr="00730321">
        <w:rPr>
          <w:b/>
          <w:i/>
          <w:sz w:val="24"/>
          <w:szCs w:val="24"/>
          <w:u w:val="single"/>
        </w:rPr>
        <w:t>In re Monschke</w:t>
      </w:r>
      <w:r w:rsidRPr="00730321">
        <w:rPr>
          <w:b/>
          <w:sz w:val="24"/>
          <w:szCs w:val="24"/>
          <w:u w:val="single"/>
        </w:rPr>
        <w:t>/</w:t>
      </w:r>
      <w:r w:rsidR="004A79C7" w:rsidRPr="00730321">
        <w:rPr>
          <w:b/>
          <w:i/>
          <w:sz w:val="24"/>
          <w:szCs w:val="24"/>
          <w:u w:val="single"/>
        </w:rPr>
        <w:t xml:space="preserve">In re </w:t>
      </w:r>
      <w:r w:rsidRPr="00730321">
        <w:rPr>
          <w:b/>
          <w:i/>
          <w:sz w:val="24"/>
          <w:szCs w:val="24"/>
          <w:u w:val="single"/>
        </w:rPr>
        <w:t>Bartholomew</w:t>
      </w:r>
    </w:p>
    <w:p w14:paraId="24B64D79" w14:textId="69554986" w:rsidR="00742E34" w:rsidRDefault="009357C7" w:rsidP="00C342F3">
      <w:pPr>
        <w:spacing w:line="240" w:lineRule="auto"/>
        <w:contextualSpacing/>
        <w:rPr>
          <w:rFonts w:cstheme="minorHAnsi"/>
          <w:sz w:val="24"/>
          <w:szCs w:val="24"/>
        </w:rPr>
      </w:pPr>
      <w:r w:rsidRPr="00730321">
        <w:rPr>
          <w:rFonts w:cstheme="minorHAnsi"/>
          <w:sz w:val="24"/>
          <w:szCs w:val="24"/>
        </w:rPr>
        <w:t xml:space="preserve">On March 11, </w:t>
      </w:r>
      <w:r w:rsidR="0035438A" w:rsidRPr="00730321">
        <w:rPr>
          <w:rFonts w:cstheme="minorHAnsi"/>
          <w:sz w:val="24"/>
          <w:szCs w:val="24"/>
        </w:rPr>
        <w:t xml:space="preserve">2021, the Washington Supreme Court decided </w:t>
      </w:r>
      <w:r w:rsidR="0035438A" w:rsidRPr="00730321">
        <w:rPr>
          <w:rFonts w:cstheme="minorHAnsi"/>
          <w:i/>
          <w:sz w:val="24"/>
          <w:szCs w:val="24"/>
        </w:rPr>
        <w:t>In re PRP Monschke</w:t>
      </w:r>
      <w:r w:rsidR="0035438A" w:rsidRPr="00730321">
        <w:rPr>
          <w:rFonts w:cstheme="minorHAnsi"/>
          <w:sz w:val="24"/>
          <w:szCs w:val="24"/>
        </w:rPr>
        <w:t xml:space="preserve">, 197 Wn.2d 305, 482 P.3d 276 (consolidated with </w:t>
      </w:r>
      <w:r w:rsidR="0035438A" w:rsidRPr="00730321">
        <w:rPr>
          <w:rFonts w:cstheme="minorHAnsi"/>
          <w:i/>
          <w:sz w:val="24"/>
          <w:szCs w:val="24"/>
        </w:rPr>
        <w:t>In re PRP Bartholemew</w:t>
      </w:r>
      <w:r w:rsidR="0035438A" w:rsidRPr="00730321">
        <w:rPr>
          <w:rFonts w:cstheme="minorHAnsi"/>
          <w:sz w:val="24"/>
          <w:szCs w:val="24"/>
        </w:rPr>
        <w:t xml:space="preserve">) (2021) holding that mandatory life without parole (LWOP) for aggravated murder is unconstitutional for young adults who are 18-20 years old at the time of offense. </w:t>
      </w:r>
      <w:r w:rsidR="00742E34" w:rsidRPr="00730321">
        <w:rPr>
          <w:rFonts w:cstheme="minorHAnsi"/>
          <w:sz w:val="24"/>
          <w:szCs w:val="24"/>
        </w:rPr>
        <w:t xml:space="preserve">The court </w:t>
      </w:r>
      <w:r w:rsidR="0035438A" w:rsidRPr="00730321">
        <w:rPr>
          <w:rFonts w:cstheme="minorHAnsi"/>
          <w:sz w:val="24"/>
          <w:szCs w:val="24"/>
        </w:rPr>
        <w:t>stated</w:t>
      </w:r>
      <w:r w:rsidR="00742E34" w:rsidRPr="00730321">
        <w:rPr>
          <w:rFonts w:cstheme="minorHAnsi"/>
          <w:sz w:val="24"/>
          <w:szCs w:val="24"/>
        </w:rPr>
        <w:t xml:space="preserve">, </w:t>
      </w:r>
      <w:r w:rsidR="00AF36C3" w:rsidRPr="00730321">
        <w:rPr>
          <w:rFonts w:cstheme="minorHAnsi"/>
          <w:sz w:val="24"/>
          <w:szCs w:val="24"/>
        </w:rPr>
        <w:t>“</w:t>
      </w:r>
      <w:r w:rsidR="00742E34" w:rsidRPr="00730321">
        <w:rPr>
          <w:rFonts w:cstheme="minorHAnsi"/>
          <w:sz w:val="24"/>
          <w:szCs w:val="24"/>
        </w:rPr>
        <w:t xml:space="preserve">Modern social science, our precedent, and a long history of arbitrary line drawing have all shown that no clear line exists between childhood and adulthood. For some purposes, we defer to the legislature’s decisions as to who constitutes an “’adult.’ But when it comes to mandatory LWOP sentences, </w:t>
      </w:r>
      <w:r w:rsidR="00742E34" w:rsidRPr="00730321">
        <w:rPr>
          <w:rFonts w:cstheme="minorHAnsi"/>
          <w:i/>
          <w:iCs/>
          <w:sz w:val="24"/>
          <w:szCs w:val="24"/>
        </w:rPr>
        <w:t>Miller</w:t>
      </w:r>
      <w:r w:rsidR="00742E34" w:rsidRPr="00730321">
        <w:rPr>
          <w:rFonts w:cstheme="minorHAnsi"/>
          <w:sz w:val="24"/>
          <w:szCs w:val="24"/>
        </w:rPr>
        <w:t xml:space="preserve">’s constitutional guarantee of an individualized sentence—one that considers the mitigating </w:t>
      </w:r>
      <w:bookmarkStart w:id="1" w:name="co_pp_sp_804_307_1"/>
      <w:bookmarkEnd w:id="1"/>
      <w:r w:rsidR="00742E34" w:rsidRPr="00730321">
        <w:rPr>
          <w:rFonts w:cstheme="minorHAnsi"/>
          <w:sz w:val="24"/>
          <w:szCs w:val="24"/>
        </w:rPr>
        <w:t xml:space="preserve">qualities of youth—must apply to defendants at least as old as these defendants were at the time of their crimes.”  </w:t>
      </w:r>
      <w:r w:rsidR="00742E34" w:rsidRPr="00730321">
        <w:rPr>
          <w:rFonts w:cstheme="minorHAnsi"/>
          <w:i/>
          <w:sz w:val="24"/>
          <w:szCs w:val="24"/>
        </w:rPr>
        <w:t>In re PRP Monschke</w:t>
      </w:r>
      <w:r w:rsidR="00742E34" w:rsidRPr="00730321">
        <w:rPr>
          <w:rFonts w:cstheme="minorHAnsi"/>
          <w:sz w:val="24"/>
          <w:szCs w:val="24"/>
        </w:rPr>
        <w:t>, 197 Wn.2d at 306-307.</w:t>
      </w:r>
    </w:p>
    <w:p w14:paraId="2365DD7D" w14:textId="77777777" w:rsidR="009B75F9" w:rsidRPr="00730321" w:rsidRDefault="009B75F9" w:rsidP="00C342F3">
      <w:pPr>
        <w:spacing w:line="240" w:lineRule="auto"/>
        <w:contextualSpacing/>
        <w:rPr>
          <w:rFonts w:cstheme="minorHAnsi"/>
          <w:sz w:val="24"/>
          <w:szCs w:val="24"/>
        </w:rPr>
      </w:pPr>
    </w:p>
    <w:p w14:paraId="00C6F194" w14:textId="77777777" w:rsidR="0035438A" w:rsidRPr="00730321" w:rsidRDefault="0035438A" w:rsidP="00C342F3">
      <w:pPr>
        <w:spacing w:line="240" w:lineRule="auto"/>
        <w:contextualSpacing/>
        <w:rPr>
          <w:rFonts w:cstheme="minorHAnsi"/>
          <w:sz w:val="24"/>
          <w:szCs w:val="24"/>
        </w:rPr>
      </w:pPr>
      <w:r w:rsidRPr="00730321">
        <w:rPr>
          <w:rFonts w:cstheme="minorHAnsi"/>
          <w:sz w:val="24"/>
          <w:szCs w:val="24"/>
        </w:rPr>
        <w:t xml:space="preserve">Individuals sentenced to LWOP for aggravated murder crimes committed as young adults ages 18-20 can petition the trial court for a resentencing hearing where the trial court considers the important factors established in </w:t>
      </w:r>
      <w:r w:rsidRPr="00730321">
        <w:rPr>
          <w:rFonts w:cstheme="minorHAnsi"/>
          <w:i/>
          <w:sz w:val="24"/>
          <w:szCs w:val="24"/>
        </w:rPr>
        <w:t>State v. Houston-Sconiers</w:t>
      </w:r>
      <w:r w:rsidRPr="00730321">
        <w:rPr>
          <w:rFonts w:cstheme="minorHAnsi"/>
          <w:sz w:val="24"/>
          <w:szCs w:val="24"/>
        </w:rPr>
        <w:t xml:space="preserve"> and exercises discretion to impose a fair and constitutional sentence</w:t>
      </w:r>
      <w:r w:rsidR="00742E34" w:rsidRPr="00730321">
        <w:rPr>
          <w:rFonts w:cstheme="minorHAnsi"/>
          <w:sz w:val="24"/>
          <w:szCs w:val="24"/>
        </w:rPr>
        <w:t>.</w:t>
      </w:r>
    </w:p>
    <w:p w14:paraId="264B4A19" w14:textId="26D1F51D" w:rsidR="00C342F3" w:rsidRPr="00730321" w:rsidRDefault="00C342F3" w:rsidP="00C342F3">
      <w:pPr>
        <w:spacing w:line="240" w:lineRule="auto"/>
        <w:contextualSpacing/>
        <w:rPr>
          <w:b/>
          <w:sz w:val="24"/>
          <w:szCs w:val="24"/>
          <w:u w:val="single"/>
        </w:rPr>
      </w:pPr>
    </w:p>
    <w:p w14:paraId="5FB51CE5" w14:textId="6DA3AE01" w:rsidR="00B3012D" w:rsidRDefault="009B75F9" w:rsidP="00C342F3">
      <w:pPr>
        <w:spacing w:line="240" w:lineRule="auto"/>
        <w:contextualSpacing/>
        <w:rPr>
          <w:b/>
          <w:sz w:val="24"/>
          <w:szCs w:val="24"/>
          <w:u w:val="single"/>
        </w:rPr>
      </w:pPr>
      <w:r w:rsidRPr="009B75F9">
        <w:rPr>
          <w:b/>
          <w:i/>
          <w:iCs/>
          <w:sz w:val="24"/>
          <w:szCs w:val="24"/>
          <w:u w:val="single"/>
        </w:rPr>
        <w:t>Padilla</w:t>
      </w:r>
      <w:r>
        <w:rPr>
          <w:b/>
          <w:sz w:val="24"/>
          <w:szCs w:val="24"/>
          <w:u w:val="single"/>
        </w:rPr>
        <w:t>/</w:t>
      </w:r>
      <w:r w:rsidRPr="009B75F9">
        <w:rPr>
          <w:b/>
          <w:i/>
          <w:iCs/>
          <w:sz w:val="24"/>
          <w:szCs w:val="24"/>
          <w:u w:val="single"/>
        </w:rPr>
        <w:t>Sandoval</w:t>
      </w:r>
      <w:r>
        <w:rPr>
          <w:b/>
          <w:sz w:val="24"/>
          <w:szCs w:val="24"/>
          <w:u w:val="single"/>
        </w:rPr>
        <w:t>/</w:t>
      </w:r>
      <w:r w:rsidRPr="009B75F9">
        <w:rPr>
          <w:b/>
          <w:i/>
          <w:iCs/>
          <w:sz w:val="24"/>
          <w:szCs w:val="24"/>
          <w:u w:val="single"/>
        </w:rPr>
        <w:t>Tsai</w:t>
      </w:r>
    </w:p>
    <w:p w14:paraId="7BB08837" w14:textId="77777777" w:rsidR="009B75F9" w:rsidRDefault="009B75F9" w:rsidP="00C342F3">
      <w:pPr>
        <w:spacing w:line="240" w:lineRule="auto"/>
        <w:contextualSpacing/>
        <w:rPr>
          <w:b/>
          <w:sz w:val="24"/>
          <w:szCs w:val="24"/>
          <w:u w:val="single"/>
        </w:rPr>
      </w:pPr>
    </w:p>
    <w:p w14:paraId="4382E065" w14:textId="240E6B7B" w:rsidR="00952337" w:rsidRPr="00952337" w:rsidRDefault="00952337" w:rsidP="00C342F3">
      <w:pPr>
        <w:spacing w:line="240" w:lineRule="auto"/>
        <w:contextualSpacing/>
        <w:rPr>
          <w:rFonts w:cstheme="minorHAnsi"/>
          <w:b/>
          <w:sz w:val="24"/>
          <w:szCs w:val="24"/>
          <w:u w:val="single"/>
        </w:rPr>
      </w:pPr>
      <w:r w:rsidRPr="00952337">
        <w:rPr>
          <w:rFonts w:cstheme="minorHAnsi"/>
          <w:sz w:val="24"/>
          <w:szCs w:val="24"/>
          <w:shd w:val="clear" w:color="auto" w:fill="FFFFFF"/>
        </w:rPr>
        <w:lastRenderedPageBreak/>
        <w:t xml:space="preserve">Since 1983, defense counsel has had a duty to inform </w:t>
      </w:r>
      <w:r w:rsidR="006B07F5">
        <w:rPr>
          <w:rFonts w:cstheme="minorHAnsi"/>
          <w:sz w:val="24"/>
          <w:szCs w:val="24"/>
          <w:shd w:val="clear" w:color="auto" w:fill="FFFFFF"/>
        </w:rPr>
        <w:t xml:space="preserve">noncitizen </w:t>
      </w:r>
      <w:r w:rsidRPr="00952337">
        <w:rPr>
          <w:rFonts w:cstheme="minorHAnsi"/>
          <w:sz w:val="24"/>
          <w:szCs w:val="24"/>
          <w:shd w:val="clear" w:color="auto" w:fill="FFFFFF"/>
        </w:rPr>
        <w:t xml:space="preserve">clients about the immigration consequences of </w:t>
      </w:r>
      <w:r w:rsidR="006B07F5">
        <w:rPr>
          <w:rFonts w:cstheme="minorHAnsi"/>
          <w:sz w:val="24"/>
          <w:szCs w:val="24"/>
          <w:shd w:val="clear" w:color="auto" w:fill="FFFFFF"/>
        </w:rPr>
        <w:t>a conviction</w:t>
      </w:r>
      <w:r w:rsidRPr="00952337">
        <w:rPr>
          <w:rFonts w:cstheme="minorHAnsi"/>
          <w:sz w:val="24"/>
          <w:szCs w:val="24"/>
          <w:shd w:val="clear" w:color="auto" w:fill="FFFFFF"/>
        </w:rPr>
        <w:t xml:space="preserve">; however, that duty was misunderstood by many attorneys </w:t>
      </w:r>
      <w:r w:rsidR="00C10859">
        <w:rPr>
          <w:rFonts w:cstheme="minorHAnsi"/>
          <w:sz w:val="24"/>
          <w:szCs w:val="24"/>
          <w:shd w:val="clear" w:color="auto" w:fill="FFFFFF"/>
        </w:rPr>
        <w:t xml:space="preserve">and courts </w:t>
      </w:r>
      <w:r w:rsidRPr="00952337">
        <w:rPr>
          <w:rFonts w:cstheme="minorHAnsi"/>
          <w:sz w:val="24"/>
          <w:szCs w:val="24"/>
          <w:shd w:val="clear" w:color="auto" w:fill="FFFFFF"/>
        </w:rPr>
        <w:t xml:space="preserve">as being outside of the scope of their representation </w:t>
      </w:r>
      <w:r w:rsidR="00C10859">
        <w:rPr>
          <w:rFonts w:cstheme="minorHAnsi"/>
          <w:sz w:val="24"/>
          <w:szCs w:val="24"/>
          <w:shd w:val="clear" w:color="auto" w:fill="FFFFFF"/>
        </w:rPr>
        <w:t>because it was considered</w:t>
      </w:r>
      <w:r w:rsidRPr="00952337">
        <w:rPr>
          <w:rFonts w:cstheme="minorHAnsi"/>
          <w:sz w:val="24"/>
          <w:szCs w:val="24"/>
          <w:shd w:val="clear" w:color="auto" w:fill="FFFFFF"/>
        </w:rPr>
        <w:t xml:space="preserve"> a collateral consequence of a conviction. </w:t>
      </w:r>
      <w:r>
        <w:rPr>
          <w:rFonts w:cstheme="minorHAnsi"/>
          <w:sz w:val="24"/>
          <w:szCs w:val="24"/>
          <w:shd w:val="clear" w:color="auto" w:fill="FFFFFF"/>
        </w:rPr>
        <w:t>In 2010, t</w:t>
      </w:r>
      <w:r w:rsidRPr="00952337">
        <w:rPr>
          <w:rFonts w:cstheme="minorHAnsi"/>
          <w:sz w:val="24"/>
          <w:szCs w:val="24"/>
          <w:shd w:val="clear" w:color="auto" w:fill="FFFFFF"/>
        </w:rPr>
        <w:t>he U.S. Supreme Court rul</w:t>
      </w:r>
      <w:r>
        <w:rPr>
          <w:rFonts w:cstheme="minorHAnsi"/>
          <w:sz w:val="24"/>
          <w:szCs w:val="24"/>
          <w:shd w:val="clear" w:color="auto" w:fill="FFFFFF"/>
        </w:rPr>
        <w:t xml:space="preserve">ed </w:t>
      </w:r>
      <w:r w:rsidRPr="00952337">
        <w:rPr>
          <w:rFonts w:cstheme="minorHAnsi"/>
          <w:sz w:val="24"/>
          <w:szCs w:val="24"/>
          <w:shd w:val="clear" w:color="auto" w:fill="FFFFFF"/>
        </w:rPr>
        <w:t>in </w:t>
      </w:r>
      <w:r w:rsidRPr="00952337">
        <w:rPr>
          <w:rStyle w:val="Emphasis"/>
          <w:rFonts w:cstheme="minorHAnsi"/>
          <w:sz w:val="24"/>
          <w:szCs w:val="24"/>
          <w:bdr w:val="none" w:sz="0" w:space="0" w:color="auto" w:frame="1"/>
          <w:shd w:val="clear" w:color="auto" w:fill="FFFFFF"/>
        </w:rPr>
        <w:t>Padilla</w:t>
      </w:r>
      <w:r w:rsidRPr="00952337">
        <w:rPr>
          <w:rFonts w:cstheme="minorHAnsi"/>
          <w:sz w:val="24"/>
          <w:szCs w:val="24"/>
          <w:shd w:val="clear" w:color="auto" w:fill="FFFFFF"/>
        </w:rPr>
        <w:t> v.</w:t>
      </w:r>
      <w:r w:rsidRPr="00952337">
        <w:rPr>
          <w:rFonts w:cstheme="minorHAnsi"/>
          <w:i/>
          <w:iCs/>
          <w:sz w:val="24"/>
          <w:szCs w:val="24"/>
          <w:shd w:val="clear" w:color="auto" w:fill="FFFFFF"/>
        </w:rPr>
        <w:t xml:space="preserve"> Kentucky</w:t>
      </w:r>
      <w:r>
        <w:rPr>
          <w:rFonts w:cstheme="minorHAnsi"/>
          <w:sz w:val="24"/>
          <w:szCs w:val="24"/>
          <w:shd w:val="clear" w:color="auto" w:fill="FFFFFF"/>
        </w:rPr>
        <w:t xml:space="preserve"> that immigration consequences of a conviction are not “collateral” and defense counsel has a duty to provide accurate advice about the immigration consequences of conviction.  Individuals who did not receive any advice about the immigration consequences of conviction, or who received incomplete or inaccurate advice, may be able to obtain a vacate or other relief from judgement </w:t>
      </w:r>
      <w:r w:rsidR="006B07F5">
        <w:rPr>
          <w:rFonts w:cstheme="minorHAnsi"/>
          <w:sz w:val="24"/>
          <w:szCs w:val="24"/>
          <w:shd w:val="clear" w:color="auto" w:fill="FFFFFF"/>
        </w:rPr>
        <w:t xml:space="preserve">such as withdrawal of a guilty plea </w:t>
      </w:r>
      <w:r w:rsidR="00F208A6">
        <w:rPr>
          <w:rFonts w:cstheme="minorHAnsi"/>
          <w:sz w:val="24"/>
          <w:szCs w:val="24"/>
          <w:shd w:val="clear" w:color="auto" w:fill="FFFFFF"/>
        </w:rPr>
        <w:t xml:space="preserve">or renegotiation of a sentence </w:t>
      </w:r>
      <w:r>
        <w:rPr>
          <w:rFonts w:cstheme="minorHAnsi"/>
          <w:sz w:val="24"/>
          <w:szCs w:val="24"/>
          <w:shd w:val="clear" w:color="auto" w:fill="FFFFFF"/>
        </w:rPr>
        <w:t xml:space="preserve">based on this error. </w:t>
      </w:r>
    </w:p>
    <w:p w14:paraId="0480798D" w14:textId="77777777" w:rsidR="009B75F9" w:rsidRPr="009B75F9" w:rsidRDefault="009B75F9" w:rsidP="00C342F3">
      <w:pPr>
        <w:spacing w:line="240" w:lineRule="auto"/>
        <w:contextualSpacing/>
        <w:rPr>
          <w:bCs/>
          <w:sz w:val="24"/>
          <w:szCs w:val="24"/>
        </w:rPr>
      </w:pPr>
    </w:p>
    <w:sectPr w:rsidR="009B75F9" w:rsidRPr="009B75F9">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496D63" w14:textId="77777777" w:rsidR="002E3542" w:rsidRDefault="002E3542" w:rsidP="003F77F8">
      <w:pPr>
        <w:spacing w:after="0" w:line="240" w:lineRule="auto"/>
      </w:pPr>
      <w:r>
        <w:separator/>
      </w:r>
    </w:p>
  </w:endnote>
  <w:endnote w:type="continuationSeparator" w:id="0">
    <w:p w14:paraId="6C346570" w14:textId="77777777" w:rsidR="002E3542" w:rsidRDefault="002E3542" w:rsidP="003F77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ldface 12p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9525698"/>
      <w:docPartObj>
        <w:docPartGallery w:val="Page Numbers (Bottom of Page)"/>
        <w:docPartUnique/>
      </w:docPartObj>
    </w:sdtPr>
    <w:sdtEndPr>
      <w:rPr>
        <w:noProof/>
      </w:rPr>
    </w:sdtEndPr>
    <w:sdtContent>
      <w:p w14:paraId="7E22BF90" w14:textId="4B88A264" w:rsidR="00810216" w:rsidRDefault="0081021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C9D72EF" w14:textId="77777777" w:rsidR="00810216" w:rsidRDefault="008102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5B9CAA" w14:textId="77777777" w:rsidR="002E3542" w:rsidRDefault="002E3542" w:rsidP="003F77F8">
      <w:pPr>
        <w:spacing w:after="0" w:line="240" w:lineRule="auto"/>
      </w:pPr>
      <w:r>
        <w:separator/>
      </w:r>
    </w:p>
  </w:footnote>
  <w:footnote w:type="continuationSeparator" w:id="0">
    <w:p w14:paraId="5AE84651" w14:textId="77777777" w:rsidR="002E3542" w:rsidRDefault="002E3542" w:rsidP="003F77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922829"/>
    <w:multiLevelType w:val="hybridMultilevel"/>
    <w:tmpl w:val="D188CABC"/>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5DDB69FC"/>
    <w:multiLevelType w:val="hybridMultilevel"/>
    <w:tmpl w:val="3A182386"/>
    <w:lvl w:ilvl="0" w:tplc="04090009">
      <w:start w:val="1"/>
      <w:numFmt w:val="bullet"/>
      <w:lvlText w:val=""/>
      <w:lvlJc w:val="left"/>
      <w:pPr>
        <w:ind w:left="720" w:hanging="360"/>
      </w:pPr>
      <w:rPr>
        <w:rFonts w:ascii="Wingdings" w:hAnsi="Wingdings" w:hint="default"/>
      </w:rPr>
    </w:lvl>
    <w:lvl w:ilvl="1" w:tplc="04090005">
      <w:start w:val="1"/>
      <w:numFmt w:val="bullet"/>
      <w:lvlText w:val=""/>
      <w:lvlJc w:val="left"/>
      <w:pPr>
        <w:ind w:left="81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3042895">
    <w:abstractNumId w:val="1"/>
  </w:num>
  <w:num w:numId="2" w16cid:durableId="3877257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377"/>
    <w:rsid w:val="00021024"/>
    <w:rsid w:val="0004662B"/>
    <w:rsid w:val="0005471B"/>
    <w:rsid w:val="00063EF1"/>
    <w:rsid w:val="000A64A2"/>
    <w:rsid w:val="000A7E3A"/>
    <w:rsid w:val="000D303D"/>
    <w:rsid w:val="000D33B0"/>
    <w:rsid w:val="000F3655"/>
    <w:rsid w:val="00155ACC"/>
    <w:rsid w:val="00180FB9"/>
    <w:rsid w:val="00227556"/>
    <w:rsid w:val="002370FD"/>
    <w:rsid w:val="00281D80"/>
    <w:rsid w:val="002A483E"/>
    <w:rsid w:val="002C112E"/>
    <w:rsid w:val="002E3542"/>
    <w:rsid w:val="0035090F"/>
    <w:rsid w:val="0035438A"/>
    <w:rsid w:val="00355569"/>
    <w:rsid w:val="00360D28"/>
    <w:rsid w:val="003931A9"/>
    <w:rsid w:val="003A1BE9"/>
    <w:rsid w:val="003B75CB"/>
    <w:rsid w:val="003D2D12"/>
    <w:rsid w:val="003F226E"/>
    <w:rsid w:val="003F3081"/>
    <w:rsid w:val="003F77F8"/>
    <w:rsid w:val="00405A05"/>
    <w:rsid w:val="00482900"/>
    <w:rsid w:val="00483A47"/>
    <w:rsid w:val="004A79C7"/>
    <w:rsid w:val="004C159C"/>
    <w:rsid w:val="004D7388"/>
    <w:rsid w:val="004E08D6"/>
    <w:rsid w:val="004F107F"/>
    <w:rsid w:val="0050510C"/>
    <w:rsid w:val="0051172C"/>
    <w:rsid w:val="00516377"/>
    <w:rsid w:val="005538F0"/>
    <w:rsid w:val="005E20F2"/>
    <w:rsid w:val="005E6E6F"/>
    <w:rsid w:val="00633702"/>
    <w:rsid w:val="00695655"/>
    <w:rsid w:val="00695F3A"/>
    <w:rsid w:val="006A7E04"/>
    <w:rsid w:val="006B07F5"/>
    <w:rsid w:val="00730321"/>
    <w:rsid w:val="007400F4"/>
    <w:rsid w:val="00742E34"/>
    <w:rsid w:val="007A68DB"/>
    <w:rsid w:val="007D7056"/>
    <w:rsid w:val="00810216"/>
    <w:rsid w:val="00836ABD"/>
    <w:rsid w:val="00876E20"/>
    <w:rsid w:val="00895D24"/>
    <w:rsid w:val="008A384C"/>
    <w:rsid w:val="008F5FB0"/>
    <w:rsid w:val="0091772B"/>
    <w:rsid w:val="009357C7"/>
    <w:rsid w:val="00952337"/>
    <w:rsid w:val="009B31CD"/>
    <w:rsid w:val="009B75F9"/>
    <w:rsid w:val="00A041A0"/>
    <w:rsid w:val="00A4091D"/>
    <w:rsid w:val="00A40E04"/>
    <w:rsid w:val="00A4457E"/>
    <w:rsid w:val="00AB2B60"/>
    <w:rsid w:val="00AF1A43"/>
    <w:rsid w:val="00AF36C3"/>
    <w:rsid w:val="00B034E7"/>
    <w:rsid w:val="00B13160"/>
    <w:rsid w:val="00B16364"/>
    <w:rsid w:val="00B21BBE"/>
    <w:rsid w:val="00B3012D"/>
    <w:rsid w:val="00B3644C"/>
    <w:rsid w:val="00B80C1D"/>
    <w:rsid w:val="00B81C61"/>
    <w:rsid w:val="00B92214"/>
    <w:rsid w:val="00B97E46"/>
    <w:rsid w:val="00BA15E4"/>
    <w:rsid w:val="00BC6B24"/>
    <w:rsid w:val="00BE0C5B"/>
    <w:rsid w:val="00C0591F"/>
    <w:rsid w:val="00C10859"/>
    <w:rsid w:val="00C342F3"/>
    <w:rsid w:val="00C51ADD"/>
    <w:rsid w:val="00C61EEF"/>
    <w:rsid w:val="00C66D5F"/>
    <w:rsid w:val="00C73906"/>
    <w:rsid w:val="00CB7580"/>
    <w:rsid w:val="00CC34D8"/>
    <w:rsid w:val="00CD200C"/>
    <w:rsid w:val="00D13FE6"/>
    <w:rsid w:val="00D34592"/>
    <w:rsid w:val="00D37A44"/>
    <w:rsid w:val="00D6485D"/>
    <w:rsid w:val="00D65436"/>
    <w:rsid w:val="00DB41BC"/>
    <w:rsid w:val="00DC3B9A"/>
    <w:rsid w:val="00DD112C"/>
    <w:rsid w:val="00E3275D"/>
    <w:rsid w:val="00E50820"/>
    <w:rsid w:val="00ED4C76"/>
    <w:rsid w:val="00F208A6"/>
    <w:rsid w:val="00F323BE"/>
    <w:rsid w:val="00F37A61"/>
    <w:rsid w:val="00F82203"/>
    <w:rsid w:val="00FB5F60"/>
    <w:rsid w:val="00FC5545"/>
    <w:rsid w:val="00FD1B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3E5A8"/>
  <w15:docId w15:val="{4A3DDC00-4B02-40C6-A4CF-764A018C09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31A9"/>
    <w:rPr>
      <w:color w:val="0563C1" w:themeColor="hyperlink"/>
      <w:u w:val="single"/>
    </w:rPr>
  </w:style>
  <w:style w:type="paragraph" w:styleId="ListParagraph">
    <w:name w:val="List Paragraph"/>
    <w:basedOn w:val="Normal"/>
    <w:uiPriority w:val="34"/>
    <w:qFormat/>
    <w:rsid w:val="003F77F8"/>
    <w:pPr>
      <w:spacing w:after="200" w:line="276" w:lineRule="auto"/>
      <w:ind w:left="720"/>
      <w:contextualSpacing/>
    </w:pPr>
  </w:style>
  <w:style w:type="paragraph" w:customStyle="1" w:styleId="xmsonormal">
    <w:name w:val="x_msonormal"/>
    <w:basedOn w:val="Normal"/>
    <w:rsid w:val="003F77F8"/>
    <w:pPr>
      <w:spacing w:before="100" w:beforeAutospacing="1" w:after="100" w:afterAutospacing="1" w:line="240" w:lineRule="auto"/>
    </w:pPr>
    <w:rPr>
      <w:rFonts w:ascii="Times New Roman" w:eastAsia="Times New Roman" w:hAnsi="Times New Roman" w:cs="Times New Roman"/>
      <w:sz w:val="24"/>
      <w:szCs w:val="24"/>
    </w:rPr>
  </w:style>
  <w:style w:type="character" w:styleId="FootnoteReference">
    <w:name w:val="footnote reference"/>
    <w:rsid w:val="003F77F8"/>
    <w:rPr>
      <w:rFonts w:ascii="Boldface 12pt" w:hAnsi="Boldface 12pt" w:cs="Boldface 12pt"/>
      <w:sz w:val="24"/>
      <w:szCs w:val="24"/>
      <w:vertAlign w:val="superscript"/>
      <w:lang w:val="en-US" w:eastAsia="x-none"/>
    </w:rPr>
  </w:style>
  <w:style w:type="paragraph" w:styleId="BalloonText">
    <w:name w:val="Balloon Text"/>
    <w:basedOn w:val="Normal"/>
    <w:link w:val="BalloonTextChar"/>
    <w:uiPriority w:val="99"/>
    <w:semiHidden/>
    <w:unhideWhenUsed/>
    <w:rsid w:val="00742E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42E34"/>
    <w:rPr>
      <w:rFonts w:ascii="Tahoma" w:hAnsi="Tahoma" w:cs="Tahoma"/>
      <w:sz w:val="16"/>
      <w:szCs w:val="16"/>
    </w:rPr>
  </w:style>
  <w:style w:type="character" w:styleId="UnresolvedMention">
    <w:name w:val="Unresolved Mention"/>
    <w:basedOn w:val="DefaultParagraphFont"/>
    <w:uiPriority w:val="99"/>
    <w:semiHidden/>
    <w:unhideWhenUsed/>
    <w:rsid w:val="0050510C"/>
    <w:rPr>
      <w:color w:val="605E5C"/>
      <w:shd w:val="clear" w:color="auto" w:fill="E1DFDD"/>
    </w:rPr>
  </w:style>
  <w:style w:type="paragraph" w:styleId="Header">
    <w:name w:val="header"/>
    <w:basedOn w:val="Normal"/>
    <w:link w:val="HeaderChar"/>
    <w:uiPriority w:val="99"/>
    <w:unhideWhenUsed/>
    <w:rsid w:val="008102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0216"/>
  </w:style>
  <w:style w:type="paragraph" w:styleId="Footer">
    <w:name w:val="footer"/>
    <w:basedOn w:val="Normal"/>
    <w:link w:val="FooterChar"/>
    <w:uiPriority w:val="99"/>
    <w:unhideWhenUsed/>
    <w:rsid w:val="008102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0216"/>
  </w:style>
  <w:style w:type="character" w:styleId="FollowedHyperlink">
    <w:name w:val="FollowedHyperlink"/>
    <w:basedOn w:val="DefaultParagraphFont"/>
    <w:uiPriority w:val="99"/>
    <w:semiHidden/>
    <w:unhideWhenUsed/>
    <w:rsid w:val="00695F3A"/>
    <w:rPr>
      <w:color w:val="954F72" w:themeColor="followedHyperlink"/>
      <w:u w:val="single"/>
    </w:rPr>
  </w:style>
  <w:style w:type="character" w:styleId="Emphasis">
    <w:name w:val="Emphasis"/>
    <w:basedOn w:val="DefaultParagraphFont"/>
    <w:uiPriority w:val="20"/>
    <w:qFormat/>
    <w:rsid w:val="0095233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99800">
      <w:bodyDiv w:val="1"/>
      <w:marLeft w:val="0"/>
      <w:marRight w:val="0"/>
      <w:marTop w:val="0"/>
      <w:marBottom w:val="0"/>
      <w:divBdr>
        <w:top w:val="none" w:sz="0" w:space="0" w:color="auto"/>
        <w:left w:val="none" w:sz="0" w:space="0" w:color="auto"/>
        <w:bottom w:val="none" w:sz="0" w:space="0" w:color="auto"/>
        <w:right w:val="none" w:sz="0" w:space="0" w:color="auto"/>
      </w:divBdr>
    </w:div>
    <w:div w:id="173155579">
      <w:bodyDiv w:val="1"/>
      <w:marLeft w:val="0"/>
      <w:marRight w:val="0"/>
      <w:marTop w:val="0"/>
      <w:marBottom w:val="0"/>
      <w:divBdr>
        <w:top w:val="none" w:sz="0" w:space="0" w:color="auto"/>
        <w:left w:val="none" w:sz="0" w:space="0" w:color="auto"/>
        <w:bottom w:val="none" w:sz="0" w:space="0" w:color="auto"/>
        <w:right w:val="none" w:sz="0" w:space="0" w:color="auto"/>
      </w:divBdr>
    </w:div>
    <w:div w:id="258022520">
      <w:bodyDiv w:val="1"/>
      <w:marLeft w:val="0"/>
      <w:marRight w:val="0"/>
      <w:marTop w:val="0"/>
      <w:marBottom w:val="0"/>
      <w:divBdr>
        <w:top w:val="none" w:sz="0" w:space="0" w:color="auto"/>
        <w:left w:val="none" w:sz="0" w:space="0" w:color="auto"/>
        <w:bottom w:val="none" w:sz="0" w:space="0" w:color="auto"/>
        <w:right w:val="none" w:sz="0" w:space="0" w:color="auto"/>
      </w:divBdr>
    </w:div>
    <w:div w:id="45098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efensenet.org/state-v-blake-resource-pag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defensenet.org/resources/prosecutor-discretion-to-seek-resentencing-5-201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pp.leg.wa.gov/RCW/default.aspx?cite=36.27.130"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efensenet.org/resources/three-strikes-reform-retroactivity-of-removing-robbery-2-from-most-serious-offense-5-2021/" TargetMode="External"/><Relationship Id="rId4" Type="http://schemas.openxmlformats.org/officeDocument/2006/relationships/webSettings" Target="webSettings.xml"/><Relationship Id="rId9" Type="http://schemas.openxmlformats.org/officeDocument/2006/relationships/hyperlink" Target="https://app.leg.wa.gov/RCW/default.aspx?cite=9.94A.647"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320</TotalTime>
  <Pages>3</Pages>
  <Words>1117</Words>
  <Characters>6372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Cindy Arends Elsberry</cp:lastModifiedBy>
  <cp:revision>16</cp:revision>
  <dcterms:created xsi:type="dcterms:W3CDTF">2024-02-27T15:21:00Z</dcterms:created>
  <dcterms:modified xsi:type="dcterms:W3CDTF">2025-03-13T15:01:00Z</dcterms:modified>
</cp:coreProperties>
</file>