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E5C9" w14:textId="6DBFE26A" w:rsidR="00516377" w:rsidRDefault="00D77395" w:rsidP="00516377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D512A4" wp14:editId="397CF85C">
            <wp:simplePos x="0" y="0"/>
            <wp:positionH relativeFrom="column">
              <wp:posOffset>571500</wp:posOffset>
            </wp:positionH>
            <wp:positionV relativeFrom="paragraph">
              <wp:posOffset>-445698</wp:posOffset>
            </wp:positionV>
            <wp:extent cx="4800600" cy="9772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DA_logo_4.20.1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377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376BC89" wp14:editId="755DF2D1">
                <wp:simplePos x="0" y="0"/>
                <wp:positionH relativeFrom="column">
                  <wp:posOffset>-447675</wp:posOffset>
                </wp:positionH>
                <wp:positionV relativeFrom="paragraph">
                  <wp:posOffset>8629650</wp:posOffset>
                </wp:positionV>
                <wp:extent cx="68199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3E7BA" w14:textId="77777777" w:rsidR="00516377" w:rsidRPr="00516377" w:rsidRDefault="00516377" w:rsidP="00516377">
                            <w:pPr>
                              <w:jc w:val="center"/>
                              <w:rPr>
                                <w:rFonts w:cs="Tahoma"/>
                              </w:rPr>
                            </w:pPr>
                            <w:r w:rsidRPr="00516377">
                              <w:rPr>
                                <w:rFonts w:cs="Tahoma"/>
                                <w:color w:val="014F6E"/>
                              </w:rPr>
                              <w:t xml:space="preserve">110 Prefontaine Pl S, Ste 610 Seattle, WA 98102 | Tel: 206-623-4321 | Fax: 206-623-5420 | </w:t>
                            </w:r>
                            <w:r w:rsidRPr="00516377">
                              <w:rPr>
                                <w:rFonts w:cs="Tahoma"/>
                                <w:b/>
                                <w:color w:val="014F6E"/>
                              </w:rPr>
                              <w:t>www.defensenet.org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376BC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5.25pt;margin-top:679.5pt;width:537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4l2DQIAAPc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lzeTFernEKSYtN5Pl/O0lgyUTxfd+jDJwUdi0bJkaaa4MXxwYdYjiieU+JrHoyud9qY5OC+&#10;2hpkR0EK2KWVOniVZizrS75azBYJ2UK8n8TR6UAKNbor+U0e16iZSMdHW6eUILQZbarE2DM/kZKR&#10;nDBUAyVGniqoT8QUwqhE+jlktIC/OetJhSX3vw4CFWfmsyW2V9P5PMo2OfPFe6KG4XWkuo4IKwmq&#10;5IGz0dyGJPXEg7ujqex04uulknOtpK5E4/knRPle+ynr5b9u/gAAAP//AwBQSwMEFAAGAAgAAAAh&#10;AA26OsrhAAAADgEAAA8AAABkcnMvZG93bnJldi54bWxMj81OwzAQhO9IvIO1SNxam1aBNsSpKiou&#10;HJAoSPToxps4Iv6R7abh7dme6G13ZzT7TbWZ7MBGjKn3TsLDXABD13jdu07C1+frbAUsZeW0GrxD&#10;Cb+YYFPf3lSq1P7sPnDc545RiEulkmByDiXnqTFoVZr7gI601kerMq2x4zqqM4XbgS+EeORW9Y4+&#10;GBXwxWDzsz9ZCd/W9HoX3w+tHsbdW7stwhSDlPd30/YZWMYp/5vhgk/oUBPT0Z+cTmyQMHsSBVlJ&#10;WBZranWxCLGk25GmYiUWwOuKX9eo/wAAAP//AwBQSwECLQAUAAYACAAAACEAtoM4kv4AAADhAQAA&#10;EwAAAAAAAAAAAAAAAAAAAAAAW0NvbnRlbnRfVHlwZXNdLnhtbFBLAQItABQABgAIAAAAIQA4/SH/&#10;1gAAAJQBAAALAAAAAAAAAAAAAAAAAC8BAABfcmVscy8ucmVsc1BLAQItABQABgAIAAAAIQAb+4l2&#10;DQIAAPcDAAAOAAAAAAAAAAAAAAAAAC4CAABkcnMvZTJvRG9jLnhtbFBLAQItABQABgAIAAAAIQAN&#10;ujrK4QAAAA4BAAAPAAAAAAAAAAAAAAAAAGcEAABkcnMvZG93bnJldi54bWxQSwUGAAAAAAQABADz&#10;AAAAdQUAAAAA&#10;" stroked="f">
                <v:textbox style="mso-fit-shape-to-text:t">
                  <w:txbxContent>
                    <w:p w14:paraId="6C83E7BA" w14:textId="77777777" w:rsidR="00516377" w:rsidRPr="00516377" w:rsidRDefault="00516377" w:rsidP="00516377">
                      <w:pPr>
                        <w:jc w:val="center"/>
                        <w:rPr>
                          <w:rFonts w:cs="Tahoma"/>
                        </w:rPr>
                      </w:pPr>
                      <w:r w:rsidRPr="00516377">
                        <w:rPr>
                          <w:rFonts w:cs="Tahoma"/>
                          <w:color w:val="014F6E"/>
                        </w:rPr>
                        <w:t xml:space="preserve">110 Prefontaine Pl S, Ste 610 Seattle, WA 98102 | Tel: 206-623-4321 | Fax: 206-623-5420 | </w:t>
                      </w:r>
                      <w:r w:rsidRPr="00516377">
                        <w:rPr>
                          <w:rFonts w:cs="Tahoma"/>
                          <w:b/>
                          <w:color w:val="014F6E"/>
                        </w:rPr>
                        <w:t>www.defensenet.org</w:t>
                      </w:r>
                    </w:p>
                  </w:txbxContent>
                </v:textbox>
              </v:shape>
            </w:pict>
          </mc:Fallback>
        </mc:AlternateContent>
      </w:r>
    </w:p>
    <w:p w14:paraId="7CCB2223" w14:textId="72C3D1BC" w:rsidR="00A4091D" w:rsidRDefault="00B21BBE" w:rsidP="005163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52D5661" wp14:editId="315E589C">
                <wp:simplePos x="0" y="0"/>
                <wp:positionH relativeFrom="margin">
                  <wp:align>left</wp:align>
                </wp:positionH>
                <wp:positionV relativeFrom="paragraph">
                  <wp:posOffset>180975</wp:posOffset>
                </wp:positionV>
                <wp:extent cx="6121400" cy="481013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4810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A9706" w14:textId="0A877F4E" w:rsidR="003931A9" w:rsidRPr="00836ABD" w:rsidRDefault="003931A9" w:rsidP="00836ABD">
                            <w:pPr>
                              <w:jc w:val="center"/>
                              <w:rPr>
                                <w:rFonts w:cs="Tahoma"/>
                                <w:color w:val="004F6E"/>
                                <w:sz w:val="28"/>
                                <w:szCs w:val="28"/>
                              </w:rPr>
                            </w:pPr>
                            <w:r w:rsidRPr="00CB7580">
                              <w:rPr>
                                <w:rFonts w:cs="Tahoma"/>
                                <w:b/>
                                <w:color w:val="004F6E"/>
                                <w:sz w:val="28"/>
                                <w:szCs w:val="28"/>
                              </w:rPr>
                              <w:t>PRACTICE ADVISORY</w:t>
                            </w:r>
                            <w:r w:rsidRPr="00CB7580">
                              <w:rPr>
                                <w:rFonts w:cs="Tahoma"/>
                                <w:color w:val="004F6E"/>
                                <w:sz w:val="28"/>
                                <w:szCs w:val="28"/>
                              </w:rPr>
                              <w:t xml:space="preserve"> | </w:t>
                            </w:r>
                            <w:r w:rsidR="00F02A17">
                              <w:rPr>
                                <w:rFonts w:cs="Tahoma"/>
                                <w:color w:val="004F6E"/>
                                <w:sz w:val="28"/>
                                <w:szCs w:val="28"/>
                              </w:rPr>
                              <w:t>3.5.25</w:t>
                            </w:r>
                            <w:r w:rsidRPr="00CB7580">
                              <w:rPr>
                                <w:rFonts w:cs="Tahoma"/>
                                <w:color w:val="004F6E"/>
                                <w:sz w:val="28"/>
                                <w:szCs w:val="28"/>
                              </w:rPr>
                              <w:t>| Cindy Arends Elsberry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52D5661" id="Text Box 5" o:spid="_x0000_s1027" type="#_x0000_t202" style="position:absolute;margin-left:0;margin-top:14.25pt;width:482pt;height:37.9pt;z-index:-2516541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DHfDwIAAP0DAAAOAAAAZHJzL2Uyb0RvYy54bWysU9uO0zAQfUfiHyy/0ySlXbpR09XSpQhp&#10;uUgLH+A6TmPheMzYbbJ8PWMn2y3whvCD5fGMz8ycOV7fDJ1hJ4Veg614Mcs5U1ZCre2h4t++7l6t&#10;OPNB2FoYsKrij8rzm83LF+velWoOLZhaISMQ68veVbwNwZVZ5mWrOuFn4JQlZwPYiUAmHrIaRU/o&#10;ncnmeX6V9YC1Q5DKe7q9G518k/CbRsnwuWm8CsxUnGoLace07+OebdaiPKBwrZZTGeIfquiEtpT0&#10;DHUngmBH1H9BdVoieGjCTEKXQdNoqVIP1E2R/9HNQyucSr0QOd6dafL/D1Z+Oj24L8jC8BYGGmBq&#10;wrt7kN89s7BthT2oW0ToWyVqSlxEyrLe+XJ6Gqn2pY8g+/4j1DRkcQyQgIYGu8gK9ckInQbweCZd&#10;DYFJurwq5sUiJ5ck32JV5MXrlEKUT68d+vBeQcfioeJIQ03o4nTvQ6xGlE8hMZkHo+udNiYZeNhv&#10;DbKTIAHs0prQfwszlvUVv17OlwnZQnyftNHpQAI1uqv4Ko9rlExk452tU0gQ2oxnqsTYiZ7IyMhN&#10;GPYD0/XEXWRrD/Uj8YUw6pH+Dx1awJ+c9aTFivsfR4GKM/PBEufXxWIRxZuMxfLNnAy89OwvPcJK&#10;gqp44Gw8bkMSfKTDwi3NptGJtudKppJJY4nN6T9EEV/aKer5125+AQAA//8DAFBLAwQUAAYACAAA&#10;ACEAEKmAvdwAAAAHAQAADwAAAGRycy9kb3ducmV2LnhtbEyPQU/CQBCF7yb+h82QeDGyFUuB2i1R&#10;E41XkB8wbYe2oTvbdBda/r3jSY5v3st732TbyXbqQoNvHRt4nkegiEtXtVwbOPx8Pq1B+YBcYeeY&#10;DFzJwza/v8swrdzIO7rsQ62khH2KBpoQ+lRrXzZk0c9dTyze0Q0Wg8ih1tWAo5TbTi+iKNEWW5aF&#10;Bnv6aKg87c/WwPF7fFxuxuIrHFa7OHnHdlW4qzEPs+ntFVSgKfyH4Q9f0CEXpsKdufKqMyCPBAOL&#10;9RKUuJsklkMhsSh+AZ1n+pY//wUAAP//AwBQSwECLQAUAAYACAAAACEAtoM4kv4AAADhAQAAEwAA&#10;AAAAAAAAAAAAAAAAAAAAW0NvbnRlbnRfVHlwZXNdLnhtbFBLAQItABQABgAIAAAAIQA4/SH/1gAA&#10;AJQBAAALAAAAAAAAAAAAAAAAAC8BAABfcmVscy8ucmVsc1BLAQItABQABgAIAAAAIQATVDHfDwIA&#10;AP0DAAAOAAAAAAAAAAAAAAAAAC4CAABkcnMvZTJvRG9jLnhtbFBLAQItABQABgAIAAAAIQAQqYC9&#10;3AAAAAcBAAAPAAAAAAAAAAAAAAAAAGkEAABkcnMvZG93bnJldi54bWxQSwUGAAAAAAQABADzAAAA&#10;cgUAAAAA&#10;" stroked="f">
                <v:textbox>
                  <w:txbxContent>
                    <w:p w14:paraId="736A9706" w14:textId="0A877F4E" w:rsidR="003931A9" w:rsidRPr="00836ABD" w:rsidRDefault="003931A9" w:rsidP="00836ABD">
                      <w:pPr>
                        <w:jc w:val="center"/>
                        <w:rPr>
                          <w:rFonts w:cs="Tahoma"/>
                          <w:color w:val="004F6E"/>
                          <w:sz w:val="28"/>
                          <w:szCs w:val="28"/>
                        </w:rPr>
                      </w:pPr>
                      <w:r w:rsidRPr="00CB7580">
                        <w:rPr>
                          <w:rFonts w:cs="Tahoma"/>
                          <w:b/>
                          <w:color w:val="004F6E"/>
                          <w:sz w:val="28"/>
                          <w:szCs w:val="28"/>
                        </w:rPr>
                        <w:t xml:space="preserve">PRACTICE </w:t>
                      </w:r>
                      <w:r w:rsidRPr="00CB7580">
                        <w:rPr>
                          <w:rFonts w:cs="Tahoma"/>
                          <w:b/>
                          <w:color w:val="004F6E"/>
                          <w:sz w:val="28"/>
                          <w:szCs w:val="28"/>
                        </w:rPr>
                        <w:t>ADVISORY</w:t>
                      </w:r>
                      <w:r w:rsidRPr="00CB7580">
                        <w:rPr>
                          <w:rFonts w:cs="Tahoma"/>
                          <w:color w:val="004F6E"/>
                          <w:sz w:val="28"/>
                          <w:szCs w:val="28"/>
                        </w:rPr>
                        <w:t xml:space="preserve"> | </w:t>
                      </w:r>
                      <w:r w:rsidR="00F02A17">
                        <w:rPr>
                          <w:rFonts w:cs="Tahoma"/>
                          <w:color w:val="004F6E"/>
                          <w:sz w:val="28"/>
                          <w:szCs w:val="28"/>
                        </w:rPr>
                        <w:t>3.5.25</w:t>
                      </w:r>
                      <w:r w:rsidRPr="00CB7580">
                        <w:rPr>
                          <w:rFonts w:cs="Tahoma"/>
                          <w:color w:val="004F6E"/>
                          <w:sz w:val="28"/>
                          <w:szCs w:val="28"/>
                        </w:rPr>
                        <w:t xml:space="preserve">| </w:t>
                      </w:r>
                      <w:r w:rsidRPr="00CB7580">
                        <w:rPr>
                          <w:rFonts w:cs="Tahoma"/>
                          <w:color w:val="004F6E"/>
                          <w:sz w:val="28"/>
                          <w:szCs w:val="28"/>
                        </w:rPr>
                        <w:t>Cindy Arends Elsberry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E99BEB" w14:textId="1DC975F2" w:rsidR="00516377" w:rsidRDefault="00516377" w:rsidP="00516377"/>
    <w:p w14:paraId="5DCB8471" w14:textId="756F8F88" w:rsidR="00143C1A" w:rsidRDefault="00143C1A" w:rsidP="00EA6B08">
      <w:pPr>
        <w:pStyle w:val="ListParagraph"/>
        <w:tabs>
          <w:tab w:val="left" w:pos="0"/>
        </w:tabs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Scoring </w:t>
      </w:r>
      <w:r w:rsidR="00E84FC1">
        <w:rPr>
          <w:b/>
          <w:bCs/>
          <w:sz w:val="24"/>
          <w:szCs w:val="24"/>
        </w:rPr>
        <w:t>J</w:t>
      </w:r>
      <w:r w:rsidR="005423DB" w:rsidRPr="005423DB">
        <w:rPr>
          <w:b/>
          <w:bCs/>
          <w:sz w:val="24"/>
          <w:szCs w:val="24"/>
        </w:rPr>
        <w:t xml:space="preserve">uvenile </w:t>
      </w:r>
      <w:r>
        <w:rPr>
          <w:b/>
          <w:bCs/>
          <w:sz w:val="24"/>
          <w:szCs w:val="24"/>
        </w:rPr>
        <w:t xml:space="preserve">Prior Adjudications - “Juvenile </w:t>
      </w:r>
      <w:r w:rsidRPr="005423DB">
        <w:rPr>
          <w:b/>
          <w:bCs/>
          <w:sz w:val="24"/>
          <w:szCs w:val="24"/>
        </w:rPr>
        <w:t>Points Bill</w:t>
      </w:r>
      <w:r>
        <w:rPr>
          <w:b/>
          <w:bCs/>
          <w:sz w:val="24"/>
          <w:szCs w:val="24"/>
        </w:rPr>
        <w:t>”</w:t>
      </w:r>
    </w:p>
    <w:p w14:paraId="1D410918" w14:textId="3E0F4751" w:rsidR="005423DB" w:rsidRPr="005423DB" w:rsidRDefault="005423DB" w:rsidP="00EA6B08">
      <w:pPr>
        <w:pStyle w:val="ListParagraph"/>
        <w:tabs>
          <w:tab w:val="left" w:pos="0"/>
        </w:tabs>
        <w:ind w:left="0"/>
        <w:jc w:val="center"/>
        <w:rPr>
          <w:b/>
          <w:bCs/>
          <w:sz w:val="24"/>
          <w:szCs w:val="24"/>
        </w:rPr>
      </w:pPr>
      <w:r w:rsidRPr="005423DB">
        <w:rPr>
          <w:b/>
          <w:bCs/>
          <w:sz w:val="24"/>
          <w:szCs w:val="24"/>
        </w:rPr>
        <w:t xml:space="preserve"> </w:t>
      </w:r>
      <w:r w:rsidR="00AA0296">
        <w:rPr>
          <w:b/>
          <w:bCs/>
          <w:sz w:val="24"/>
          <w:szCs w:val="24"/>
        </w:rPr>
        <w:t xml:space="preserve">2023 </w:t>
      </w:r>
      <w:r w:rsidRPr="005423DB">
        <w:rPr>
          <w:b/>
          <w:bCs/>
          <w:sz w:val="24"/>
          <w:szCs w:val="24"/>
        </w:rPr>
        <w:t>Change</w:t>
      </w:r>
      <w:r w:rsidR="00AA0296">
        <w:rPr>
          <w:b/>
          <w:bCs/>
          <w:sz w:val="24"/>
          <w:szCs w:val="24"/>
        </w:rPr>
        <w:t>s</w:t>
      </w:r>
      <w:r w:rsidRPr="005423DB">
        <w:rPr>
          <w:b/>
          <w:bCs/>
          <w:sz w:val="24"/>
          <w:szCs w:val="24"/>
        </w:rPr>
        <w:t xml:space="preserve"> to</w:t>
      </w:r>
      <w:r w:rsidR="00143C1A">
        <w:rPr>
          <w:b/>
          <w:bCs/>
          <w:sz w:val="24"/>
          <w:szCs w:val="24"/>
        </w:rPr>
        <w:t xml:space="preserve"> the</w:t>
      </w:r>
      <w:r w:rsidRPr="005423DB">
        <w:rPr>
          <w:b/>
          <w:bCs/>
          <w:sz w:val="24"/>
          <w:szCs w:val="24"/>
        </w:rPr>
        <w:t xml:space="preserve"> </w:t>
      </w:r>
      <w:r w:rsidR="00143C1A">
        <w:rPr>
          <w:b/>
          <w:bCs/>
          <w:sz w:val="24"/>
          <w:szCs w:val="24"/>
        </w:rPr>
        <w:t xml:space="preserve">SRA’s Rules for </w:t>
      </w:r>
      <w:r w:rsidRPr="005423DB">
        <w:rPr>
          <w:b/>
          <w:bCs/>
          <w:sz w:val="24"/>
          <w:szCs w:val="24"/>
        </w:rPr>
        <w:t>Calculating Offender Score</w:t>
      </w:r>
    </w:p>
    <w:p w14:paraId="4906C27F" w14:textId="202EAC64" w:rsidR="005423DB" w:rsidRPr="0041753E" w:rsidRDefault="005423DB" w:rsidP="00EA6B08">
      <w:pPr>
        <w:pStyle w:val="ListParagraph"/>
        <w:ind w:left="0"/>
        <w:jc w:val="center"/>
        <w:rPr>
          <w:sz w:val="24"/>
          <w:szCs w:val="24"/>
        </w:rPr>
      </w:pPr>
      <w:r w:rsidRPr="0041753E">
        <w:rPr>
          <w:sz w:val="24"/>
          <w:szCs w:val="24"/>
        </w:rPr>
        <w:t xml:space="preserve">RCW 9.94A.525, </w:t>
      </w:r>
      <w:hyperlink r:id="rId12" w:history="1">
        <w:r w:rsidRPr="0041753E">
          <w:rPr>
            <w:rStyle w:val="Hyperlink"/>
            <w:sz w:val="24"/>
            <w:szCs w:val="24"/>
          </w:rPr>
          <w:t>HB 1324</w:t>
        </w:r>
      </w:hyperlink>
      <w:r w:rsidRPr="0041753E">
        <w:rPr>
          <w:sz w:val="24"/>
          <w:szCs w:val="24"/>
        </w:rPr>
        <w:t xml:space="preserve"> (</w:t>
      </w:r>
      <w:r w:rsidR="00767E80" w:rsidRPr="0041753E">
        <w:rPr>
          <w:sz w:val="24"/>
          <w:szCs w:val="24"/>
        </w:rPr>
        <w:t>Effective d</w:t>
      </w:r>
      <w:r w:rsidRPr="0041753E">
        <w:rPr>
          <w:sz w:val="24"/>
          <w:szCs w:val="24"/>
        </w:rPr>
        <w:t>ate 7.23.23)</w:t>
      </w:r>
      <w:r w:rsidR="00EA6B08">
        <w:rPr>
          <w:rStyle w:val="FootnoteReference"/>
        </w:rPr>
        <w:footnoteReference w:id="1"/>
      </w:r>
      <w:r w:rsidR="0041753E" w:rsidRPr="0041753E">
        <w:rPr>
          <w:sz w:val="24"/>
          <w:szCs w:val="24"/>
        </w:rPr>
        <w:t>, Law</w:t>
      </w:r>
      <w:r w:rsidR="0041753E">
        <w:rPr>
          <w:sz w:val="24"/>
          <w:szCs w:val="24"/>
        </w:rPr>
        <w:t xml:space="preserve">s of 2023, </w:t>
      </w:r>
      <w:proofErr w:type="spellStart"/>
      <w:r w:rsidR="0041753E">
        <w:rPr>
          <w:sz w:val="24"/>
          <w:szCs w:val="24"/>
        </w:rPr>
        <w:t>ch.</w:t>
      </w:r>
      <w:proofErr w:type="spellEnd"/>
      <w:r w:rsidR="0041753E">
        <w:rPr>
          <w:sz w:val="24"/>
          <w:szCs w:val="24"/>
        </w:rPr>
        <w:t xml:space="preserve"> 415, </w:t>
      </w:r>
      <w:r w:rsidR="00143C1A">
        <w:rPr>
          <w:sz w:val="24"/>
          <w:szCs w:val="24"/>
        </w:rPr>
        <w:t>§</w:t>
      </w:r>
      <w:r w:rsidR="0041753E">
        <w:rPr>
          <w:sz w:val="24"/>
          <w:szCs w:val="24"/>
        </w:rPr>
        <w:t>2.</w:t>
      </w:r>
    </w:p>
    <w:p w14:paraId="217501C4" w14:textId="77777777" w:rsidR="005423DB" w:rsidRPr="0041753E" w:rsidRDefault="005423DB" w:rsidP="005423DB">
      <w:pPr>
        <w:pStyle w:val="ListParagraph"/>
        <w:ind w:left="1440"/>
        <w:jc w:val="center"/>
        <w:rPr>
          <w:sz w:val="24"/>
          <w:szCs w:val="24"/>
        </w:rPr>
      </w:pPr>
    </w:p>
    <w:p w14:paraId="6CC613B3" w14:textId="1D7A2F32" w:rsidR="005423DB" w:rsidRPr="00143C1A" w:rsidRDefault="005423DB" w:rsidP="005423DB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In 2023, the Washington Legislature passed </w:t>
      </w:r>
      <w:r w:rsidRPr="00767E80">
        <w:rPr>
          <w:sz w:val="24"/>
          <w:szCs w:val="24"/>
        </w:rPr>
        <w:t>HB 1324</w:t>
      </w:r>
      <w:r>
        <w:rPr>
          <w:sz w:val="24"/>
          <w:szCs w:val="24"/>
        </w:rPr>
        <w:t>, Ch. 41</w:t>
      </w:r>
      <w:r w:rsidR="009A30B9">
        <w:rPr>
          <w:sz w:val="24"/>
          <w:szCs w:val="24"/>
        </w:rPr>
        <w:t>5, §2,</w:t>
      </w:r>
      <w:r>
        <w:rPr>
          <w:sz w:val="24"/>
          <w:szCs w:val="24"/>
        </w:rPr>
        <w:t xml:space="preserve"> Laws of 2023, amending </w:t>
      </w:r>
      <w:r w:rsidR="00143C1A">
        <w:rPr>
          <w:sz w:val="24"/>
          <w:szCs w:val="24"/>
        </w:rPr>
        <w:t xml:space="preserve">the SRA scoring statute and </w:t>
      </w:r>
      <w:r w:rsidR="00143C1A" w:rsidRPr="00143C1A">
        <w:rPr>
          <w:sz w:val="24"/>
          <w:szCs w:val="24"/>
        </w:rPr>
        <w:t>providing that</w:t>
      </w:r>
      <w:r w:rsidR="0016091B" w:rsidRPr="00143C1A">
        <w:rPr>
          <w:sz w:val="24"/>
          <w:szCs w:val="24"/>
        </w:rPr>
        <w:t xml:space="preserve"> </w:t>
      </w:r>
      <w:r w:rsidRPr="00143C1A">
        <w:rPr>
          <w:sz w:val="24"/>
          <w:szCs w:val="24"/>
        </w:rPr>
        <w:t>prior juvenile court adjudications will no</w:t>
      </w:r>
      <w:r w:rsidR="00847ED5" w:rsidRPr="00143C1A">
        <w:rPr>
          <w:sz w:val="24"/>
          <w:szCs w:val="24"/>
        </w:rPr>
        <w:t>t</w:t>
      </w:r>
      <w:r w:rsidRPr="00143C1A">
        <w:rPr>
          <w:sz w:val="24"/>
          <w:szCs w:val="24"/>
        </w:rPr>
        <w:t xml:space="preserve"> </w:t>
      </w:r>
      <w:r w:rsidR="00E03327" w:rsidRPr="00143C1A">
        <w:rPr>
          <w:sz w:val="24"/>
          <w:szCs w:val="24"/>
        </w:rPr>
        <w:t xml:space="preserve">be </w:t>
      </w:r>
      <w:r w:rsidRPr="00143C1A">
        <w:rPr>
          <w:sz w:val="24"/>
          <w:szCs w:val="24"/>
        </w:rPr>
        <w:t>count</w:t>
      </w:r>
      <w:r w:rsidR="00E03327" w:rsidRPr="00143C1A">
        <w:rPr>
          <w:sz w:val="24"/>
          <w:szCs w:val="24"/>
        </w:rPr>
        <w:t>ed</w:t>
      </w:r>
      <w:r w:rsidRPr="00143C1A">
        <w:rPr>
          <w:sz w:val="24"/>
          <w:szCs w:val="24"/>
        </w:rPr>
        <w:t xml:space="preserve"> in the </w:t>
      </w:r>
      <w:r w:rsidR="00E03327" w:rsidRPr="00143C1A">
        <w:rPr>
          <w:sz w:val="24"/>
          <w:szCs w:val="24"/>
        </w:rPr>
        <w:t xml:space="preserve">adult </w:t>
      </w:r>
      <w:r w:rsidRPr="00143C1A">
        <w:rPr>
          <w:sz w:val="24"/>
          <w:szCs w:val="24"/>
        </w:rPr>
        <w:t xml:space="preserve">offender score </w:t>
      </w:r>
      <w:r w:rsidR="00767E80" w:rsidRPr="00143C1A">
        <w:rPr>
          <w:sz w:val="24"/>
          <w:szCs w:val="24"/>
        </w:rPr>
        <w:t>under the SRA,</w:t>
      </w:r>
      <w:r w:rsidRPr="00143C1A">
        <w:rPr>
          <w:sz w:val="24"/>
          <w:szCs w:val="24"/>
        </w:rPr>
        <w:t xml:space="preserve"> except for juvenile adjudications for murder 1</w:t>
      </w:r>
      <w:r w:rsidR="00E03327" w:rsidRPr="00143C1A">
        <w:rPr>
          <w:sz w:val="24"/>
          <w:szCs w:val="24"/>
        </w:rPr>
        <w:t xml:space="preserve"> or</w:t>
      </w:r>
      <w:r w:rsidRPr="00143C1A">
        <w:rPr>
          <w:sz w:val="24"/>
          <w:szCs w:val="24"/>
        </w:rPr>
        <w:t xml:space="preserve"> 2 and class A sex offenses. </w:t>
      </w:r>
      <w:r w:rsidR="00143C1A">
        <w:rPr>
          <w:sz w:val="24"/>
          <w:szCs w:val="24"/>
        </w:rPr>
        <w:t>RCW 9.94A.525(1)(b).</w:t>
      </w:r>
      <w:r w:rsidR="00D77395">
        <w:rPr>
          <w:sz w:val="24"/>
          <w:szCs w:val="24"/>
        </w:rPr>
        <w:t xml:space="preserve"> As of 3.5.25, the Legislature is considering </w:t>
      </w:r>
      <w:hyperlink r:id="rId13" w:history="1">
        <w:r w:rsidR="00D77395" w:rsidRPr="00D77395">
          <w:rPr>
            <w:rStyle w:val="Hyperlink"/>
            <w:sz w:val="24"/>
            <w:szCs w:val="24"/>
          </w:rPr>
          <w:t>HB 1274</w:t>
        </w:r>
      </w:hyperlink>
      <w:r w:rsidR="00D77395">
        <w:rPr>
          <w:sz w:val="24"/>
          <w:szCs w:val="24"/>
        </w:rPr>
        <w:t xml:space="preserve">, which, if passed, would apply the 2023 change in the law retroactively. </w:t>
      </w:r>
    </w:p>
    <w:p w14:paraId="73B295C9" w14:textId="25292793" w:rsidR="005423DB" w:rsidRPr="003E5176" w:rsidRDefault="005423DB" w:rsidP="005423DB">
      <w:pPr>
        <w:pStyle w:val="ListParagraph"/>
        <w:ind w:left="0"/>
        <w:rPr>
          <w:rFonts w:cstheme="minorHAnsi"/>
          <w:sz w:val="24"/>
          <w:szCs w:val="24"/>
        </w:rPr>
      </w:pPr>
    </w:p>
    <w:p w14:paraId="44FAA2CE" w14:textId="77777777" w:rsidR="006B16DD" w:rsidRDefault="00767E80" w:rsidP="005423DB">
      <w:pPr>
        <w:pStyle w:val="ListParagraph"/>
        <w:ind w:left="0"/>
        <w:rPr>
          <w:rFonts w:cstheme="minorHAnsi"/>
          <w:sz w:val="24"/>
          <w:szCs w:val="24"/>
        </w:rPr>
      </w:pPr>
      <w:r w:rsidRPr="003E5176">
        <w:rPr>
          <w:rFonts w:cstheme="minorHAnsi"/>
          <w:b/>
          <w:bCs/>
          <w:sz w:val="24"/>
          <w:szCs w:val="24"/>
        </w:rPr>
        <w:t>Retroactivity</w:t>
      </w:r>
      <w:r w:rsidR="00F02A17">
        <w:rPr>
          <w:rFonts w:cstheme="minorHAnsi"/>
          <w:b/>
          <w:bCs/>
          <w:sz w:val="24"/>
          <w:szCs w:val="24"/>
        </w:rPr>
        <w:t xml:space="preserve"> remains unsettled. </w:t>
      </w:r>
      <w:r w:rsidR="00F02A17">
        <w:rPr>
          <w:rFonts w:cstheme="minorHAnsi"/>
          <w:sz w:val="24"/>
          <w:szCs w:val="24"/>
        </w:rPr>
        <w:t xml:space="preserve">Until the WA Supreme Court rules on the retroactivity of the law, argue it should apply regardless of offense date. </w:t>
      </w:r>
    </w:p>
    <w:p w14:paraId="09D27078" w14:textId="77777777" w:rsidR="006B16DD" w:rsidRDefault="006B16DD" w:rsidP="005423DB">
      <w:pPr>
        <w:pStyle w:val="ListParagraph"/>
        <w:ind w:left="0"/>
        <w:rPr>
          <w:rFonts w:cstheme="minorHAnsi"/>
          <w:sz w:val="24"/>
          <w:szCs w:val="24"/>
        </w:rPr>
      </w:pPr>
    </w:p>
    <w:p w14:paraId="36DFE714" w14:textId="392001BA" w:rsidR="005423DB" w:rsidRPr="003E5176" w:rsidRDefault="00767E80" w:rsidP="009A30B9">
      <w:pPr>
        <w:pStyle w:val="ListParagrap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E5176">
        <w:rPr>
          <w:rFonts w:cstheme="minorHAnsi"/>
          <w:sz w:val="24"/>
          <w:szCs w:val="24"/>
        </w:rPr>
        <w:t xml:space="preserve">Prosecutors will likely argue </w:t>
      </w:r>
      <w:r w:rsidRPr="006B16DD">
        <w:rPr>
          <w:rFonts w:cstheme="minorHAnsi"/>
          <w:sz w:val="24"/>
          <w:szCs w:val="24"/>
        </w:rPr>
        <w:t>that the bill only applies to sentences for offenses that occur on or after the effective date of the bill</w:t>
      </w:r>
      <w:r w:rsidR="00226DC8" w:rsidRPr="006B16DD">
        <w:rPr>
          <w:rFonts w:cstheme="minorHAnsi"/>
          <w:sz w:val="24"/>
          <w:szCs w:val="24"/>
        </w:rPr>
        <w:t xml:space="preserve"> (July 23, 2023)</w:t>
      </w:r>
      <w:r w:rsidR="00226DC8">
        <w:rPr>
          <w:rFonts w:cstheme="minorHAnsi"/>
          <w:b/>
          <w:bCs/>
          <w:i/>
          <w:iCs/>
          <w:sz w:val="24"/>
          <w:szCs w:val="24"/>
        </w:rPr>
        <w:t xml:space="preserve">. </w:t>
      </w:r>
      <w:r w:rsidR="0016091B">
        <w:rPr>
          <w:rFonts w:cstheme="minorHAnsi"/>
          <w:sz w:val="24"/>
          <w:szCs w:val="24"/>
        </w:rPr>
        <w:t>Expect prosecutors to</w:t>
      </w:r>
      <w:r w:rsidR="00523971" w:rsidRPr="003E5176">
        <w:rPr>
          <w:rFonts w:cstheme="minorHAnsi"/>
          <w:sz w:val="24"/>
          <w:szCs w:val="24"/>
        </w:rPr>
        <w:t xml:space="preserve"> </w:t>
      </w:r>
      <w:r w:rsidRPr="003E5176">
        <w:rPr>
          <w:rFonts w:cstheme="minorHAnsi"/>
          <w:sz w:val="24"/>
          <w:szCs w:val="24"/>
        </w:rPr>
        <w:t>rely on</w:t>
      </w:r>
      <w:r w:rsidR="00523971" w:rsidRPr="003E5176">
        <w:rPr>
          <w:rFonts w:cstheme="minorHAnsi"/>
          <w:sz w:val="24"/>
          <w:szCs w:val="24"/>
        </w:rPr>
        <w:t xml:space="preserve"> RCW 10.01.040 and</w:t>
      </w:r>
      <w:r w:rsidRPr="003E5176">
        <w:rPr>
          <w:rFonts w:cstheme="minorHAnsi"/>
          <w:sz w:val="24"/>
          <w:szCs w:val="24"/>
        </w:rPr>
        <w:t xml:space="preserve"> RCW 9.94A.345, </w:t>
      </w:r>
      <w:r w:rsidR="00523971" w:rsidRPr="003E5176">
        <w:rPr>
          <w:rFonts w:cstheme="minorHAnsi"/>
          <w:sz w:val="24"/>
          <w:szCs w:val="24"/>
        </w:rPr>
        <w:t xml:space="preserve">statutes that provide that the law in effect at the time of an offense controls. </w:t>
      </w:r>
      <w:r w:rsidR="005F5F4F" w:rsidRPr="003E5176">
        <w:rPr>
          <w:rFonts w:cstheme="minorHAnsi"/>
          <w:color w:val="000000"/>
          <w:sz w:val="24"/>
          <w:szCs w:val="24"/>
          <w:shd w:val="clear" w:color="auto" w:fill="FFFFFF"/>
        </w:rPr>
        <w:t xml:space="preserve">Prosecutors and courts will </w:t>
      </w:r>
      <w:r w:rsidR="00523971" w:rsidRPr="003E5176">
        <w:rPr>
          <w:rFonts w:cstheme="minorHAnsi"/>
          <w:color w:val="000000"/>
          <w:sz w:val="24"/>
          <w:szCs w:val="24"/>
          <w:shd w:val="clear" w:color="auto" w:fill="FFFFFF"/>
        </w:rPr>
        <w:t xml:space="preserve">likely </w:t>
      </w:r>
      <w:r w:rsidR="00226DC8">
        <w:rPr>
          <w:rFonts w:cstheme="minorHAnsi"/>
          <w:color w:val="000000"/>
          <w:sz w:val="24"/>
          <w:szCs w:val="24"/>
          <w:shd w:val="clear" w:color="auto" w:fill="FFFFFF"/>
        </w:rPr>
        <w:t>point to the most</w:t>
      </w:r>
      <w:r w:rsidR="00306E5B" w:rsidRPr="003E5176">
        <w:rPr>
          <w:rFonts w:cstheme="minorHAnsi"/>
          <w:color w:val="000000"/>
          <w:sz w:val="24"/>
          <w:szCs w:val="24"/>
          <w:shd w:val="clear" w:color="auto" w:fill="FFFFFF"/>
        </w:rPr>
        <w:t xml:space="preserve"> recent case </w:t>
      </w:r>
      <w:r w:rsidR="00E03327">
        <w:rPr>
          <w:rFonts w:cstheme="minorHAnsi"/>
          <w:color w:val="000000"/>
          <w:sz w:val="24"/>
          <w:szCs w:val="24"/>
          <w:shd w:val="clear" w:color="auto" w:fill="FFFFFF"/>
        </w:rPr>
        <w:t xml:space="preserve">law </w:t>
      </w:r>
      <w:r w:rsidR="00306E5B" w:rsidRPr="003E5176">
        <w:rPr>
          <w:rFonts w:cstheme="minorHAnsi"/>
          <w:color w:val="000000"/>
          <w:sz w:val="24"/>
          <w:szCs w:val="24"/>
          <w:shd w:val="clear" w:color="auto" w:fill="FFFFFF"/>
        </w:rPr>
        <w:t>addressing retroactivity of a statutory change</w:t>
      </w:r>
      <w:r w:rsidR="00226DC8">
        <w:rPr>
          <w:rFonts w:cstheme="minorHAnsi"/>
          <w:color w:val="000000"/>
          <w:sz w:val="24"/>
          <w:szCs w:val="24"/>
          <w:shd w:val="clear" w:color="auto" w:fill="FFFFFF"/>
        </w:rPr>
        <w:t xml:space="preserve"> to </w:t>
      </w:r>
      <w:r w:rsidR="000367DE">
        <w:rPr>
          <w:rFonts w:cstheme="minorHAnsi"/>
          <w:color w:val="000000"/>
          <w:sz w:val="24"/>
          <w:szCs w:val="24"/>
          <w:shd w:val="clear" w:color="auto" w:fill="FFFFFF"/>
        </w:rPr>
        <w:t>sentencing</w:t>
      </w:r>
      <w:r w:rsidR="00D238AC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306E5B" w:rsidRPr="003E517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E03327">
        <w:rPr>
          <w:rFonts w:cstheme="minorHAnsi"/>
          <w:color w:val="000000"/>
          <w:sz w:val="24"/>
          <w:szCs w:val="24"/>
          <w:shd w:val="clear" w:color="auto" w:fill="FFFFFF"/>
        </w:rPr>
        <w:t>B</w:t>
      </w:r>
      <w:r w:rsidR="00226DC8">
        <w:rPr>
          <w:rFonts w:cstheme="minorHAnsi"/>
          <w:color w:val="000000"/>
          <w:sz w:val="24"/>
          <w:szCs w:val="24"/>
          <w:shd w:val="clear" w:color="auto" w:fill="FFFFFF"/>
        </w:rPr>
        <w:t xml:space="preserve">e prepared to distinguish or raise arguments addressed in </w:t>
      </w:r>
      <w:r w:rsidR="005F5F4F" w:rsidRPr="003E5176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State v. Jenks</w:t>
      </w:r>
      <w:r w:rsidR="005F5F4F" w:rsidRPr="003E5176">
        <w:rPr>
          <w:rFonts w:cstheme="minorHAnsi"/>
          <w:color w:val="000000"/>
          <w:sz w:val="24"/>
          <w:szCs w:val="24"/>
          <w:shd w:val="clear" w:color="auto" w:fill="FFFFFF"/>
        </w:rPr>
        <w:t>, 197 Wn.2d 708, 487 P.3d 482 (2021) (20</w:t>
      </w:r>
      <w:r w:rsidR="00523971" w:rsidRPr="003E5176">
        <w:rPr>
          <w:rFonts w:cstheme="minorHAnsi"/>
          <w:color w:val="000000"/>
          <w:sz w:val="24"/>
          <w:szCs w:val="24"/>
          <w:shd w:val="clear" w:color="auto" w:fill="FFFFFF"/>
        </w:rPr>
        <w:t>19</w:t>
      </w:r>
      <w:r w:rsidR="005F5F4F" w:rsidRPr="003E5176">
        <w:rPr>
          <w:rFonts w:cstheme="minorHAnsi"/>
          <w:color w:val="000000"/>
          <w:sz w:val="24"/>
          <w:szCs w:val="24"/>
          <w:shd w:val="clear" w:color="auto" w:fill="FFFFFF"/>
        </w:rPr>
        <w:t xml:space="preserve"> legislation removing second degree robbery from </w:t>
      </w:r>
      <w:r w:rsidR="00306E5B" w:rsidRPr="003E5176">
        <w:rPr>
          <w:rFonts w:cstheme="minorHAnsi"/>
          <w:color w:val="000000"/>
          <w:sz w:val="24"/>
          <w:szCs w:val="24"/>
          <w:shd w:val="clear" w:color="auto" w:fill="FFFFFF"/>
        </w:rPr>
        <w:t xml:space="preserve">the definition list of “most serious offenses” for the POAA was </w:t>
      </w:r>
      <w:r w:rsidR="005F5F4F" w:rsidRPr="003E5176">
        <w:rPr>
          <w:rFonts w:cstheme="minorHAnsi"/>
          <w:color w:val="000000"/>
          <w:sz w:val="24"/>
          <w:szCs w:val="24"/>
          <w:shd w:val="clear" w:color="auto" w:fill="FFFFFF"/>
        </w:rPr>
        <w:t>prospective only).</w:t>
      </w:r>
      <w:r w:rsidR="00226DC8">
        <w:rPr>
          <w:rFonts w:cstheme="minorHAnsi"/>
          <w:color w:val="000000"/>
          <w:sz w:val="24"/>
          <w:szCs w:val="24"/>
          <w:shd w:val="clear" w:color="auto" w:fill="FFFFFF"/>
        </w:rPr>
        <w:t xml:space="preserve"> Note, the </w:t>
      </w:r>
      <w:r w:rsidR="00226DC8" w:rsidRPr="00226DC8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Jenks</w:t>
      </w:r>
      <w:r w:rsidR="00226DC8">
        <w:rPr>
          <w:rFonts w:cstheme="minorHAnsi"/>
          <w:color w:val="000000"/>
          <w:sz w:val="24"/>
          <w:szCs w:val="24"/>
          <w:shd w:val="clear" w:color="auto" w:fill="FFFFFF"/>
        </w:rPr>
        <w:t xml:space="preserve"> decision came down close in time to when the Washington legislature passed additional legislation making the removal of robbery 2 from the list of strike offenses retroactive.</w:t>
      </w:r>
    </w:p>
    <w:p w14:paraId="763F9B1A" w14:textId="0316D7E6" w:rsidR="00767E80" w:rsidRPr="00B349A8" w:rsidRDefault="00767E80" w:rsidP="005423DB">
      <w:pPr>
        <w:pStyle w:val="ListParagraph"/>
        <w:ind w:left="0"/>
        <w:rPr>
          <w:rFonts w:ascii="Open Sans" w:hAnsi="Open Sans" w:cs="Open Sans"/>
          <w:color w:val="000000"/>
          <w:sz w:val="24"/>
          <w:szCs w:val="24"/>
          <w:shd w:val="clear" w:color="auto" w:fill="FFFFFF"/>
        </w:rPr>
      </w:pPr>
    </w:p>
    <w:p w14:paraId="67B1892D" w14:textId="6BC5D91A" w:rsidR="00B349A8" w:rsidRPr="00B349A8" w:rsidRDefault="00B349A8" w:rsidP="00B349A8">
      <w:pPr>
        <w:pStyle w:val="ListParagraph"/>
        <w:ind w:left="0"/>
        <w:rPr>
          <w:rFonts w:cstheme="minorHAnsi"/>
          <w:b/>
          <w:bCs/>
          <w:sz w:val="24"/>
          <w:szCs w:val="24"/>
        </w:rPr>
      </w:pPr>
      <w:r w:rsidRPr="00B349A8">
        <w:rPr>
          <w:rFonts w:cstheme="minorHAnsi"/>
          <w:b/>
          <w:bCs/>
          <w:sz w:val="24"/>
          <w:szCs w:val="24"/>
          <w:shd w:val="clear" w:color="auto" w:fill="FFFFFF"/>
        </w:rPr>
        <w:t xml:space="preserve">Possible legal arguments to counter </w:t>
      </w:r>
      <w:r w:rsidR="00143C1A">
        <w:rPr>
          <w:rFonts w:cstheme="minorHAnsi"/>
          <w:b/>
          <w:bCs/>
          <w:sz w:val="24"/>
          <w:szCs w:val="24"/>
          <w:shd w:val="clear" w:color="auto" w:fill="FFFFFF"/>
        </w:rPr>
        <w:t xml:space="preserve">the </w:t>
      </w:r>
      <w:r w:rsidRPr="00B349A8">
        <w:rPr>
          <w:rFonts w:cstheme="minorHAnsi"/>
          <w:b/>
          <w:bCs/>
          <w:sz w:val="24"/>
          <w:szCs w:val="24"/>
          <w:shd w:val="clear" w:color="auto" w:fill="FFFFFF"/>
        </w:rPr>
        <w:t>prosecutor</w:t>
      </w:r>
      <w:r w:rsidR="00143C1A">
        <w:rPr>
          <w:rFonts w:cstheme="minorHAnsi"/>
          <w:b/>
          <w:bCs/>
          <w:sz w:val="24"/>
          <w:szCs w:val="24"/>
          <w:shd w:val="clear" w:color="auto" w:fill="FFFFFF"/>
        </w:rPr>
        <w:t xml:space="preserve">’s </w:t>
      </w:r>
      <w:r w:rsidRPr="00B349A8">
        <w:rPr>
          <w:rFonts w:cstheme="minorHAnsi"/>
          <w:b/>
          <w:bCs/>
          <w:sz w:val="24"/>
          <w:szCs w:val="24"/>
          <w:shd w:val="clear" w:color="auto" w:fill="FFFFFF"/>
        </w:rPr>
        <w:t>argument</w:t>
      </w:r>
      <w:r w:rsidR="00143C1A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B349A8">
        <w:rPr>
          <w:rFonts w:cstheme="minorHAnsi"/>
          <w:b/>
          <w:bCs/>
          <w:sz w:val="24"/>
          <w:szCs w:val="24"/>
          <w:shd w:val="clear" w:color="auto" w:fill="FFFFFF"/>
        </w:rPr>
        <w:t>re retroactive application:</w:t>
      </w:r>
    </w:p>
    <w:p w14:paraId="1E6552EC" w14:textId="3B615C25" w:rsidR="00FA1CDD" w:rsidRPr="00B349A8" w:rsidRDefault="00FA1CDD" w:rsidP="00B349A8">
      <w:pPr>
        <w:pStyle w:val="ListParagraph"/>
        <w:numPr>
          <w:ilvl w:val="0"/>
          <w:numId w:val="40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349A8">
        <w:rPr>
          <w:rFonts w:cstheme="minorHAnsi"/>
          <w:color w:val="000000"/>
          <w:sz w:val="24"/>
          <w:szCs w:val="24"/>
          <w:shd w:val="clear" w:color="auto" w:fill="FFFFFF"/>
        </w:rPr>
        <w:t xml:space="preserve">Argue </w:t>
      </w:r>
      <w:r w:rsidR="00E650D9">
        <w:rPr>
          <w:rFonts w:cstheme="minorHAnsi"/>
          <w:color w:val="000000"/>
          <w:sz w:val="24"/>
          <w:szCs w:val="24"/>
          <w:shd w:val="clear" w:color="auto" w:fill="FFFFFF"/>
        </w:rPr>
        <w:t xml:space="preserve">language regarding </w:t>
      </w:r>
      <w:r w:rsidRPr="00B349A8">
        <w:rPr>
          <w:rFonts w:cstheme="minorHAnsi"/>
          <w:color w:val="000000"/>
          <w:sz w:val="24"/>
          <w:szCs w:val="24"/>
          <w:shd w:val="clear" w:color="auto" w:fill="FFFFFF"/>
        </w:rPr>
        <w:t xml:space="preserve">retroactivity </w:t>
      </w:r>
      <w:r w:rsidR="00B26AAB">
        <w:rPr>
          <w:rFonts w:cstheme="minorHAnsi"/>
          <w:color w:val="000000"/>
          <w:sz w:val="24"/>
          <w:szCs w:val="24"/>
          <w:shd w:val="clear" w:color="auto" w:fill="FFFFFF"/>
        </w:rPr>
        <w:t>is</w:t>
      </w:r>
      <w:r w:rsidR="0078347D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B349A8">
        <w:rPr>
          <w:rFonts w:cstheme="minorHAnsi"/>
          <w:color w:val="000000"/>
          <w:sz w:val="24"/>
          <w:szCs w:val="24"/>
          <w:shd w:val="clear" w:color="auto" w:fill="FFFFFF"/>
        </w:rPr>
        <w:t>not required</w:t>
      </w:r>
      <w:r w:rsidR="0078347D">
        <w:rPr>
          <w:rFonts w:cstheme="minorHAnsi"/>
          <w:color w:val="000000"/>
          <w:sz w:val="24"/>
          <w:szCs w:val="24"/>
          <w:shd w:val="clear" w:color="auto" w:fill="FFFFFF"/>
        </w:rPr>
        <w:t xml:space="preserve"> in the 2023 legislation because </w:t>
      </w:r>
      <w:r w:rsidR="00E650D9">
        <w:rPr>
          <w:rFonts w:cstheme="minorHAnsi"/>
          <w:color w:val="000000"/>
          <w:sz w:val="24"/>
          <w:szCs w:val="24"/>
          <w:shd w:val="clear" w:color="auto" w:fill="FFFFFF"/>
        </w:rPr>
        <w:t>the</w:t>
      </w:r>
      <w:r w:rsidR="0078347D">
        <w:rPr>
          <w:rFonts w:cstheme="minorHAnsi"/>
          <w:color w:val="000000"/>
          <w:sz w:val="24"/>
          <w:szCs w:val="24"/>
          <w:shd w:val="clear" w:color="auto" w:fill="FFFFFF"/>
        </w:rPr>
        <w:t xml:space="preserve"> plain reading of the relevant </w:t>
      </w:r>
      <w:r w:rsidR="00E650D9">
        <w:rPr>
          <w:rFonts w:cstheme="minorHAnsi"/>
          <w:color w:val="000000"/>
          <w:sz w:val="24"/>
          <w:szCs w:val="24"/>
          <w:shd w:val="clear" w:color="auto" w:fill="FFFFFF"/>
        </w:rPr>
        <w:t xml:space="preserve">SRA </w:t>
      </w:r>
      <w:r w:rsidR="0078347D">
        <w:rPr>
          <w:rFonts w:cstheme="minorHAnsi"/>
          <w:color w:val="000000"/>
          <w:sz w:val="24"/>
          <w:szCs w:val="24"/>
          <w:shd w:val="clear" w:color="auto" w:fill="FFFFFF"/>
        </w:rPr>
        <w:t xml:space="preserve">statutes </w:t>
      </w:r>
      <w:r w:rsidR="00E650D9">
        <w:rPr>
          <w:rFonts w:cstheme="minorHAnsi"/>
          <w:color w:val="000000"/>
          <w:sz w:val="24"/>
          <w:szCs w:val="24"/>
          <w:shd w:val="clear" w:color="auto" w:fill="FFFFFF"/>
        </w:rPr>
        <w:t xml:space="preserve">provides that </w:t>
      </w:r>
      <w:r w:rsidR="0078347D">
        <w:rPr>
          <w:rFonts w:cstheme="minorHAnsi"/>
          <w:color w:val="000000"/>
          <w:sz w:val="24"/>
          <w:szCs w:val="24"/>
          <w:shd w:val="clear" w:color="auto" w:fill="FFFFFF"/>
        </w:rPr>
        <w:t xml:space="preserve">calculation of </w:t>
      </w:r>
      <w:r w:rsidR="00E650D9">
        <w:rPr>
          <w:rFonts w:cstheme="minorHAnsi"/>
          <w:color w:val="000000"/>
          <w:sz w:val="24"/>
          <w:szCs w:val="24"/>
          <w:shd w:val="clear" w:color="auto" w:fill="FFFFFF"/>
        </w:rPr>
        <w:t xml:space="preserve">the </w:t>
      </w:r>
      <w:r w:rsidR="0078347D">
        <w:rPr>
          <w:rFonts w:cstheme="minorHAnsi"/>
          <w:color w:val="000000"/>
          <w:sz w:val="24"/>
          <w:szCs w:val="24"/>
          <w:shd w:val="clear" w:color="auto" w:fill="FFFFFF"/>
        </w:rPr>
        <w:t>offender score happens on the date of sentencing</w:t>
      </w:r>
      <w:r w:rsidR="00E650D9">
        <w:rPr>
          <w:rFonts w:cstheme="minorHAnsi"/>
          <w:color w:val="000000"/>
          <w:sz w:val="24"/>
          <w:szCs w:val="24"/>
          <w:shd w:val="clear" w:color="auto" w:fill="FFFFFF"/>
        </w:rPr>
        <w:t xml:space="preserve"> (or resentencing)</w:t>
      </w:r>
      <w:r w:rsidR="0078347D">
        <w:rPr>
          <w:rFonts w:cstheme="minorHAnsi"/>
          <w:color w:val="000000"/>
          <w:sz w:val="24"/>
          <w:szCs w:val="24"/>
          <w:shd w:val="clear" w:color="auto" w:fill="FFFFFF"/>
        </w:rPr>
        <w:t xml:space="preserve"> and includes convictions that exist (and count) on the date of sentence.  </w:t>
      </w:r>
      <w:r w:rsidR="00B349A8" w:rsidRPr="00B349A8">
        <w:rPr>
          <w:rFonts w:cstheme="minorHAnsi"/>
          <w:color w:val="000000"/>
          <w:sz w:val="24"/>
          <w:szCs w:val="24"/>
          <w:shd w:val="clear" w:color="auto" w:fill="FFFFFF"/>
        </w:rPr>
        <w:t xml:space="preserve">See </w:t>
      </w:r>
      <w:r w:rsidR="00AD5F97">
        <w:rPr>
          <w:rFonts w:cstheme="minorHAnsi"/>
          <w:color w:val="000000"/>
          <w:sz w:val="24"/>
          <w:szCs w:val="24"/>
          <w:shd w:val="clear" w:color="auto" w:fill="FFFFFF"/>
        </w:rPr>
        <w:t>a sample</w:t>
      </w:r>
      <w:r w:rsidR="00B349A8" w:rsidRPr="00B349A8">
        <w:rPr>
          <w:rFonts w:cstheme="minorHAnsi"/>
          <w:color w:val="000000"/>
          <w:sz w:val="24"/>
          <w:szCs w:val="24"/>
          <w:shd w:val="clear" w:color="auto" w:fill="FFFFFF"/>
        </w:rPr>
        <w:t xml:space="preserve"> brief </w:t>
      </w:r>
      <w:hyperlink r:id="rId14" w:history="1">
        <w:r w:rsidR="00B349A8" w:rsidRPr="00B349A8">
          <w:rPr>
            <w:rStyle w:val="Hyperlink"/>
            <w:rFonts w:cstheme="minorHAnsi"/>
            <w:sz w:val="24"/>
            <w:szCs w:val="24"/>
            <w:shd w:val="clear" w:color="auto" w:fill="FFFFFF"/>
          </w:rPr>
          <w:t>here</w:t>
        </w:r>
      </w:hyperlink>
      <w:r w:rsidR="00E2200E">
        <w:rPr>
          <w:rFonts w:cstheme="minorHAnsi"/>
          <w:color w:val="000000"/>
          <w:sz w:val="24"/>
          <w:szCs w:val="24"/>
          <w:shd w:val="clear" w:color="auto" w:fill="FFFFFF"/>
        </w:rPr>
        <w:t xml:space="preserve"> which also points out that the</w:t>
      </w:r>
      <w:r w:rsidR="00B26AAB">
        <w:rPr>
          <w:rFonts w:cstheme="minorHAnsi"/>
          <w:color w:val="000000"/>
          <w:sz w:val="24"/>
          <w:szCs w:val="24"/>
          <w:shd w:val="clear" w:color="auto" w:fill="FFFFFF"/>
        </w:rPr>
        <w:t xml:space="preserve"> persistent offender</w:t>
      </w:r>
      <w:r w:rsidR="00E2200E">
        <w:rPr>
          <w:rFonts w:cstheme="minorHAnsi"/>
          <w:color w:val="000000"/>
          <w:sz w:val="24"/>
          <w:szCs w:val="24"/>
          <w:shd w:val="clear" w:color="auto" w:fill="FFFFFF"/>
        </w:rPr>
        <w:t xml:space="preserve"> sentencing statutes </w:t>
      </w:r>
      <w:r w:rsidR="00B26AAB">
        <w:rPr>
          <w:rFonts w:cstheme="minorHAnsi"/>
          <w:color w:val="000000"/>
          <w:sz w:val="24"/>
          <w:szCs w:val="24"/>
          <w:shd w:val="clear" w:color="auto" w:fill="FFFFFF"/>
        </w:rPr>
        <w:t xml:space="preserve">at issue </w:t>
      </w:r>
      <w:r w:rsidR="00E2200E">
        <w:rPr>
          <w:rFonts w:cstheme="minorHAnsi"/>
          <w:color w:val="000000"/>
          <w:sz w:val="24"/>
          <w:szCs w:val="24"/>
          <w:shd w:val="clear" w:color="auto" w:fill="FFFFFF"/>
        </w:rPr>
        <w:t xml:space="preserve">in </w:t>
      </w:r>
      <w:r w:rsidR="00B26AAB" w:rsidRPr="00B26AAB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 xml:space="preserve">State v. </w:t>
      </w:r>
      <w:r w:rsidR="00E2200E" w:rsidRPr="00E2200E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Jenks</w:t>
      </w:r>
      <w:r w:rsidR="00E2200E">
        <w:rPr>
          <w:rFonts w:cstheme="minorHAnsi"/>
          <w:color w:val="000000"/>
          <w:sz w:val="24"/>
          <w:szCs w:val="24"/>
          <w:shd w:val="clear" w:color="auto" w:fill="FFFFFF"/>
        </w:rPr>
        <w:t xml:space="preserve"> and the </w:t>
      </w:r>
      <w:r w:rsidR="00E2200E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>juvenile points bill work differently</w:t>
      </w:r>
      <w:r w:rsidR="00B26AAB">
        <w:rPr>
          <w:rFonts w:cstheme="minorHAnsi"/>
          <w:color w:val="000000"/>
          <w:sz w:val="24"/>
          <w:szCs w:val="24"/>
          <w:shd w:val="clear" w:color="auto" w:fill="FFFFFF"/>
        </w:rPr>
        <w:t xml:space="preserve">, thus </w:t>
      </w:r>
      <w:r w:rsidR="00B26AAB" w:rsidRPr="00143C1A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Jenks</w:t>
      </w:r>
      <w:r w:rsidR="00B26AAB">
        <w:rPr>
          <w:rFonts w:cstheme="minorHAnsi"/>
          <w:color w:val="000000"/>
          <w:sz w:val="24"/>
          <w:szCs w:val="24"/>
          <w:shd w:val="clear" w:color="auto" w:fill="FFFFFF"/>
        </w:rPr>
        <w:t xml:space="preserve"> does not control</w:t>
      </w:r>
      <w:r w:rsidR="00B349A8" w:rsidRPr="00B349A8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  <w:r w:rsidR="00F02A17">
        <w:rPr>
          <w:rFonts w:cstheme="minorHAnsi"/>
          <w:color w:val="000000"/>
          <w:sz w:val="24"/>
          <w:szCs w:val="24"/>
          <w:shd w:val="clear" w:color="auto" w:fill="FFFFFF"/>
        </w:rPr>
        <w:t xml:space="preserve"> See </w:t>
      </w:r>
      <w:r w:rsidR="00F02A17" w:rsidRPr="00F02A17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State v. Tester</w:t>
      </w:r>
      <w:r w:rsidR="00F02A17">
        <w:rPr>
          <w:rFonts w:cstheme="minorHAnsi"/>
          <w:color w:val="000000"/>
          <w:sz w:val="24"/>
          <w:szCs w:val="24"/>
          <w:shd w:val="clear" w:color="auto" w:fill="FFFFFF"/>
        </w:rPr>
        <w:t xml:space="preserve"> and </w:t>
      </w:r>
      <w:r w:rsidR="00F02A17" w:rsidRPr="00F02A17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State v. Troutman</w:t>
      </w:r>
      <w:r w:rsidR="00F02A17">
        <w:rPr>
          <w:rFonts w:cstheme="minorHAnsi"/>
          <w:color w:val="000000"/>
          <w:sz w:val="24"/>
          <w:szCs w:val="24"/>
          <w:shd w:val="clear" w:color="auto" w:fill="FFFFFF"/>
        </w:rPr>
        <w:t xml:space="preserve">, below.  </w:t>
      </w:r>
    </w:p>
    <w:p w14:paraId="4635AF20" w14:textId="4A034022" w:rsidR="00D238AC" w:rsidRDefault="00E03327" w:rsidP="00D238AC">
      <w:pPr>
        <w:pStyle w:val="ListParagraph"/>
        <w:numPr>
          <w:ilvl w:val="0"/>
          <w:numId w:val="37"/>
        </w:numPr>
        <w:rPr>
          <w:sz w:val="24"/>
          <w:szCs w:val="24"/>
        </w:rPr>
      </w:pPr>
      <w:r w:rsidRPr="00B349A8">
        <w:rPr>
          <w:sz w:val="24"/>
          <w:szCs w:val="24"/>
        </w:rPr>
        <w:t>Argue the</w:t>
      </w:r>
      <w:r>
        <w:rPr>
          <w:sz w:val="24"/>
          <w:szCs w:val="24"/>
        </w:rPr>
        <w:t xml:space="preserve"> c</w:t>
      </w:r>
      <w:r w:rsidR="00304DBD">
        <w:rPr>
          <w:sz w:val="24"/>
          <w:szCs w:val="24"/>
        </w:rPr>
        <w:t xml:space="preserve">ommon law principle that when the legislature revises the law and makes punishment less severe, no purpose is served by imposing the older, harsher </w:t>
      </w:r>
      <w:r w:rsidR="005668D1">
        <w:rPr>
          <w:sz w:val="24"/>
          <w:szCs w:val="24"/>
        </w:rPr>
        <w:t xml:space="preserve">version of the law </w:t>
      </w:r>
      <w:r w:rsidR="008D656A">
        <w:rPr>
          <w:sz w:val="24"/>
          <w:szCs w:val="24"/>
        </w:rPr>
        <w:t>(this</w:t>
      </w:r>
      <w:r w:rsidR="005668D1">
        <w:rPr>
          <w:sz w:val="24"/>
          <w:szCs w:val="24"/>
        </w:rPr>
        <w:t xml:space="preserve"> argument</w:t>
      </w:r>
      <w:r w:rsidR="008D656A">
        <w:rPr>
          <w:sz w:val="24"/>
          <w:szCs w:val="24"/>
        </w:rPr>
        <w:t xml:space="preserve"> was rejected in </w:t>
      </w:r>
      <w:r w:rsidR="008D656A" w:rsidRPr="008D656A">
        <w:rPr>
          <w:i/>
          <w:iCs/>
          <w:sz w:val="24"/>
          <w:szCs w:val="24"/>
        </w:rPr>
        <w:t>Jenks</w:t>
      </w:r>
      <w:r w:rsidR="008D656A">
        <w:rPr>
          <w:sz w:val="24"/>
          <w:szCs w:val="24"/>
        </w:rPr>
        <w:t>)</w:t>
      </w:r>
      <w:r w:rsidR="00304DBD">
        <w:rPr>
          <w:sz w:val="24"/>
          <w:szCs w:val="24"/>
        </w:rPr>
        <w:t xml:space="preserve">. </w:t>
      </w:r>
    </w:p>
    <w:p w14:paraId="37706063" w14:textId="35EE0416" w:rsidR="00457126" w:rsidRPr="00D238AC" w:rsidRDefault="00523971" w:rsidP="00D238AC">
      <w:pPr>
        <w:pStyle w:val="ListParagraph"/>
        <w:numPr>
          <w:ilvl w:val="0"/>
          <w:numId w:val="37"/>
        </w:numPr>
        <w:rPr>
          <w:sz w:val="24"/>
          <w:szCs w:val="24"/>
        </w:rPr>
      </w:pPr>
      <w:r w:rsidRPr="00D238AC">
        <w:rPr>
          <w:sz w:val="24"/>
          <w:szCs w:val="24"/>
        </w:rPr>
        <w:t>A</w:t>
      </w:r>
      <w:r w:rsidR="00E03327">
        <w:rPr>
          <w:sz w:val="24"/>
          <w:szCs w:val="24"/>
        </w:rPr>
        <w:t>rgue the a</w:t>
      </w:r>
      <w:r w:rsidRPr="00D238AC">
        <w:rPr>
          <w:sz w:val="24"/>
          <w:szCs w:val="24"/>
        </w:rPr>
        <w:t>pplication of the savings statute, RCW 10.01.040, violates article I</w:t>
      </w:r>
      <w:r w:rsidR="005668D1" w:rsidRPr="00D238AC">
        <w:rPr>
          <w:sz w:val="24"/>
          <w:szCs w:val="24"/>
        </w:rPr>
        <w:t>,</w:t>
      </w:r>
      <w:r w:rsidRPr="00D238AC">
        <w:rPr>
          <w:sz w:val="24"/>
          <w:szCs w:val="24"/>
        </w:rPr>
        <w:t xml:space="preserve"> section 14 of the Washington Constitution because it provides an arbitrary dividing line that leaves intact racially disproportionate sentences and ignores </w:t>
      </w:r>
      <w:r w:rsidR="001F65A0">
        <w:rPr>
          <w:sz w:val="24"/>
          <w:szCs w:val="24"/>
        </w:rPr>
        <w:t>disparate</w:t>
      </w:r>
      <w:r w:rsidRPr="00D238AC">
        <w:rPr>
          <w:sz w:val="24"/>
          <w:szCs w:val="24"/>
        </w:rPr>
        <w:t xml:space="preserve"> sentences under </w:t>
      </w:r>
      <w:r w:rsidRPr="00D238AC">
        <w:rPr>
          <w:i/>
          <w:iCs/>
          <w:sz w:val="24"/>
          <w:szCs w:val="24"/>
        </w:rPr>
        <w:t>State v. Fain</w:t>
      </w:r>
      <w:r w:rsidRPr="00D238AC">
        <w:rPr>
          <w:sz w:val="24"/>
          <w:szCs w:val="24"/>
        </w:rPr>
        <w:t xml:space="preserve">, 94 Wn.2d 387, 617 P.2d 720 (1980). </w:t>
      </w:r>
      <w:r w:rsidR="00847ED5" w:rsidRPr="00D238AC">
        <w:rPr>
          <w:sz w:val="24"/>
          <w:szCs w:val="24"/>
        </w:rPr>
        <w:t>People of color (including children of color) have historically been</w:t>
      </w:r>
      <w:r w:rsidR="000367DE">
        <w:rPr>
          <w:sz w:val="24"/>
          <w:szCs w:val="24"/>
        </w:rPr>
        <w:t>,</w:t>
      </w:r>
      <w:r w:rsidR="00847ED5" w:rsidRPr="00D238AC">
        <w:rPr>
          <w:sz w:val="24"/>
          <w:szCs w:val="24"/>
        </w:rPr>
        <w:t xml:space="preserve"> and continue to be</w:t>
      </w:r>
      <w:r w:rsidR="000367DE">
        <w:rPr>
          <w:sz w:val="24"/>
          <w:szCs w:val="24"/>
        </w:rPr>
        <w:t>,</w:t>
      </w:r>
      <w:r w:rsidR="00847ED5" w:rsidRPr="00D238AC">
        <w:rPr>
          <w:sz w:val="24"/>
          <w:szCs w:val="24"/>
        </w:rPr>
        <w:t xml:space="preserve"> policed, prosecuted, and punished </w:t>
      </w:r>
      <w:r w:rsidR="00020CDB">
        <w:rPr>
          <w:sz w:val="24"/>
          <w:szCs w:val="24"/>
        </w:rPr>
        <w:t>disp</w:t>
      </w:r>
      <w:r w:rsidR="00BD01FF">
        <w:rPr>
          <w:sz w:val="24"/>
          <w:szCs w:val="24"/>
        </w:rPr>
        <w:t xml:space="preserve">arately. </w:t>
      </w:r>
      <w:r w:rsidR="00457126" w:rsidRPr="00D238AC">
        <w:rPr>
          <w:sz w:val="24"/>
          <w:szCs w:val="24"/>
        </w:rPr>
        <w:t xml:space="preserve">Read the opinion in </w:t>
      </w:r>
      <w:r w:rsidR="00457126" w:rsidRPr="00D238AC">
        <w:rPr>
          <w:i/>
          <w:iCs/>
          <w:sz w:val="24"/>
          <w:szCs w:val="24"/>
        </w:rPr>
        <w:t xml:space="preserve">State v. </w:t>
      </w:r>
      <w:proofErr w:type="spellStart"/>
      <w:r w:rsidR="00457126" w:rsidRPr="00D238AC">
        <w:rPr>
          <w:i/>
          <w:iCs/>
          <w:sz w:val="24"/>
          <w:szCs w:val="24"/>
        </w:rPr>
        <w:t>Asaria</w:t>
      </w:r>
      <w:proofErr w:type="spellEnd"/>
      <w:r w:rsidR="00457126" w:rsidRPr="00D238AC">
        <w:rPr>
          <w:i/>
          <w:iCs/>
          <w:sz w:val="24"/>
          <w:szCs w:val="24"/>
        </w:rPr>
        <w:t xml:space="preserve"> Miller</w:t>
      </w:r>
      <w:bookmarkStart w:id="0" w:name="_Hlk119516227"/>
      <w:r w:rsidR="00457126" w:rsidRPr="00D238AC">
        <w:rPr>
          <w:rFonts w:cstheme="minorHAnsi"/>
          <w:sz w:val="24"/>
          <w:szCs w:val="24"/>
        </w:rPr>
        <w:t xml:space="preserve">, </w:t>
      </w:r>
      <w:r w:rsidR="001F234E" w:rsidRPr="00D238AC">
        <w:rPr>
          <w:rFonts w:ascii="Calibri" w:eastAsia="Times New Roman" w:hAnsi="Calibri" w:cs="Calibri"/>
          <w:sz w:val="24"/>
          <w:szCs w:val="24"/>
        </w:rPr>
        <w:t>21 Wn.App.2d 257, 505 P.3d 585 (2022)</w:t>
      </w:r>
      <w:r w:rsidR="00BD01FF">
        <w:rPr>
          <w:rFonts w:ascii="Calibri" w:eastAsia="Times New Roman" w:hAnsi="Calibri" w:cs="Calibri"/>
          <w:sz w:val="24"/>
          <w:szCs w:val="24"/>
        </w:rPr>
        <w:t>,</w:t>
      </w:r>
      <w:r w:rsidR="001F234E" w:rsidRPr="00D238AC">
        <w:rPr>
          <w:rFonts w:ascii="Calibri" w:eastAsia="Times New Roman" w:hAnsi="Calibri" w:cs="Calibri"/>
          <w:sz w:val="24"/>
          <w:szCs w:val="24"/>
        </w:rPr>
        <w:t> </w:t>
      </w:r>
      <w:r w:rsidR="00457126" w:rsidRPr="00D238AC">
        <w:rPr>
          <w:rFonts w:cstheme="minorHAnsi"/>
          <w:sz w:val="24"/>
          <w:szCs w:val="24"/>
        </w:rPr>
        <w:t xml:space="preserve">and find the Korematsu Center’s Amicus Brief for this case </w:t>
      </w:r>
      <w:hyperlink r:id="rId15" w:history="1">
        <w:r w:rsidR="00457126" w:rsidRPr="00D238AC">
          <w:rPr>
            <w:rStyle w:val="Hyperlink"/>
            <w:rFonts w:cstheme="minorHAnsi"/>
            <w:sz w:val="24"/>
            <w:szCs w:val="24"/>
          </w:rPr>
          <w:t>here</w:t>
        </w:r>
      </w:hyperlink>
      <w:r w:rsidR="00457126" w:rsidRPr="00D238AC">
        <w:rPr>
          <w:rFonts w:cstheme="minorHAnsi"/>
          <w:sz w:val="24"/>
          <w:szCs w:val="24"/>
        </w:rPr>
        <w:t xml:space="preserve"> on the WDA website</w:t>
      </w:r>
      <w:r w:rsidR="00BD01FF">
        <w:rPr>
          <w:rFonts w:cstheme="minorHAnsi"/>
          <w:sz w:val="24"/>
          <w:szCs w:val="24"/>
        </w:rPr>
        <w:t>.</w:t>
      </w:r>
      <w:r w:rsidR="001F234E" w:rsidRPr="00D238AC">
        <w:rPr>
          <w:rFonts w:cstheme="minorHAnsi"/>
          <w:sz w:val="24"/>
          <w:szCs w:val="24"/>
        </w:rPr>
        <w:t xml:space="preserve"> </w:t>
      </w:r>
      <w:r w:rsidR="00BD01FF">
        <w:rPr>
          <w:rFonts w:cstheme="minorHAnsi"/>
          <w:sz w:val="24"/>
          <w:szCs w:val="24"/>
        </w:rPr>
        <w:t>B</w:t>
      </w:r>
      <w:r w:rsidR="001F234E" w:rsidRPr="00D238AC">
        <w:rPr>
          <w:rFonts w:cstheme="minorHAnsi"/>
          <w:sz w:val="24"/>
          <w:szCs w:val="24"/>
        </w:rPr>
        <w:t xml:space="preserve">oth discuss the role of adultification of youth of color and </w:t>
      </w:r>
      <w:r w:rsidR="000367DE">
        <w:rPr>
          <w:rFonts w:cstheme="minorHAnsi"/>
          <w:sz w:val="24"/>
          <w:szCs w:val="24"/>
        </w:rPr>
        <w:t xml:space="preserve">racially </w:t>
      </w:r>
      <w:r w:rsidR="00BD01FF">
        <w:rPr>
          <w:rFonts w:cstheme="minorHAnsi"/>
          <w:sz w:val="24"/>
          <w:szCs w:val="24"/>
        </w:rPr>
        <w:t>disparate</w:t>
      </w:r>
      <w:r w:rsidR="001F234E" w:rsidRPr="00D238AC">
        <w:rPr>
          <w:rFonts w:cstheme="minorHAnsi"/>
          <w:sz w:val="24"/>
          <w:szCs w:val="24"/>
        </w:rPr>
        <w:t xml:space="preserve"> punishment</w:t>
      </w:r>
      <w:r w:rsidR="00457126" w:rsidRPr="00D238AC">
        <w:rPr>
          <w:rFonts w:cstheme="minorHAnsi"/>
          <w:sz w:val="24"/>
          <w:szCs w:val="24"/>
        </w:rPr>
        <w:t>.</w:t>
      </w:r>
    </w:p>
    <w:bookmarkEnd w:id="0"/>
    <w:p w14:paraId="7C529FFC" w14:textId="016B326B" w:rsidR="005423DB" w:rsidRDefault="008A5DA7" w:rsidP="00145FF0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="009A30B9">
        <w:rPr>
          <w:sz w:val="24"/>
          <w:szCs w:val="24"/>
        </w:rPr>
        <w:t>ruel punishment: C</w:t>
      </w:r>
      <w:r>
        <w:rPr>
          <w:sz w:val="24"/>
          <w:szCs w:val="24"/>
        </w:rPr>
        <w:t xml:space="preserve">hildren are different, and juvenile adjudications should not enhance or increase punishment for adult crimes. </w:t>
      </w:r>
      <w:r w:rsidR="003E5176">
        <w:rPr>
          <w:sz w:val="24"/>
          <w:szCs w:val="24"/>
        </w:rPr>
        <w:t xml:space="preserve">Cite to the </w:t>
      </w:r>
      <w:r w:rsidR="00F21A68">
        <w:rPr>
          <w:sz w:val="24"/>
          <w:szCs w:val="24"/>
        </w:rPr>
        <w:t>U</w:t>
      </w:r>
      <w:r w:rsidR="00143C1A">
        <w:rPr>
          <w:sz w:val="24"/>
          <w:szCs w:val="24"/>
        </w:rPr>
        <w:t>.</w:t>
      </w:r>
      <w:r w:rsidR="00F21A68">
        <w:rPr>
          <w:sz w:val="24"/>
          <w:szCs w:val="24"/>
        </w:rPr>
        <w:t>S</w:t>
      </w:r>
      <w:r w:rsidR="00143C1A">
        <w:rPr>
          <w:sz w:val="24"/>
          <w:szCs w:val="24"/>
        </w:rPr>
        <w:t>.</w:t>
      </w:r>
      <w:r w:rsidR="00F21A68">
        <w:rPr>
          <w:sz w:val="24"/>
          <w:szCs w:val="24"/>
        </w:rPr>
        <w:t xml:space="preserve"> Constitution </w:t>
      </w:r>
      <w:r w:rsidR="00143C1A">
        <w:rPr>
          <w:sz w:val="24"/>
          <w:szCs w:val="24"/>
        </w:rPr>
        <w:t>Eighth</w:t>
      </w:r>
      <w:r w:rsidR="00F21A68">
        <w:rPr>
          <w:sz w:val="24"/>
          <w:szCs w:val="24"/>
        </w:rPr>
        <w:t xml:space="preserve"> Amendment ban on cruel and unusual punishment and </w:t>
      </w:r>
      <w:r w:rsidR="00143C1A">
        <w:rPr>
          <w:sz w:val="24"/>
          <w:szCs w:val="24"/>
        </w:rPr>
        <w:t xml:space="preserve">the </w:t>
      </w:r>
      <w:r w:rsidR="00F21A68">
        <w:rPr>
          <w:sz w:val="24"/>
          <w:szCs w:val="24"/>
        </w:rPr>
        <w:t xml:space="preserve">WA Constitution </w:t>
      </w:r>
      <w:r>
        <w:rPr>
          <w:sz w:val="24"/>
          <w:szCs w:val="24"/>
        </w:rPr>
        <w:t xml:space="preserve">article I </w:t>
      </w:r>
      <w:r w:rsidR="00143C1A">
        <w:rPr>
          <w:sz w:val="24"/>
          <w:szCs w:val="24"/>
        </w:rPr>
        <w:t xml:space="preserve">§ </w:t>
      </w:r>
      <w:r>
        <w:rPr>
          <w:sz w:val="24"/>
          <w:szCs w:val="24"/>
        </w:rPr>
        <w:t xml:space="preserve">14 </w:t>
      </w:r>
      <w:r w:rsidR="00F21A68">
        <w:rPr>
          <w:sz w:val="24"/>
          <w:szCs w:val="24"/>
        </w:rPr>
        <w:t xml:space="preserve">ban on cruel punishment, along with the </w:t>
      </w:r>
      <w:r w:rsidR="003E5176">
        <w:rPr>
          <w:sz w:val="24"/>
          <w:szCs w:val="24"/>
        </w:rPr>
        <w:t>j</w:t>
      </w:r>
      <w:r w:rsidR="00145FF0" w:rsidRPr="00145FF0">
        <w:rPr>
          <w:sz w:val="24"/>
          <w:szCs w:val="24"/>
        </w:rPr>
        <w:t>uvenile jurisprudence</w:t>
      </w:r>
      <w:r w:rsidR="003E5176">
        <w:rPr>
          <w:sz w:val="24"/>
          <w:szCs w:val="24"/>
        </w:rPr>
        <w:t xml:space="preserve"> holding </w:t>
      </w:r>
      <w:r w:rsidR="00145FF0" w:rsidRPr="00145FF0">
        <w:rPr>
          <w:sz w:val="24"/>
          <w:szCs w:val="24"/>
        </w:rPr>
        <w:t>that kids</w:t>
      </w:r>
      <w:r w:rsidR="00145FF0">
        <w:rPr>
          <w:sz w:val="24"/>
          <w:szCs w:val="24"/>
        </w:rPr>
        <w:t xml:space="preserve"> </w:t>
      </w:r>
      <w:r w:rsidR="003E5176">
        <w:rPr>
          <w:sz w:val="24"/>
          <w:szCs w:val="24"/>
        </w:rPr>
        <w:t xml:space="preserve">and young adults </w:t>
      </w:r>
      <w:r w:rsidR="00145FF0">
        <w:rPr>
          <w:sz w:val="24"/>
          <w:szCs w:val="24"/>
        </w:rPr>
        <w:t xml:space="preserve">are different, based on neurobiology and </w:t>
      </w:r>
      <w:r w:rsidR="00131478">
        <w:rPr>
          <w:sz w:val="24"/>
          <w:szCs w:val="24"/>
        </w:rPr>
        <w:t xml:space="preserve">individual family and </w:t>
      </w:r>
      <w:r w:rsidR="00145FF0">
        <w:rPr>
          <w:sz w:val="24"/>
          <w:szCs w:val="24"/>
        </w:rPr>
        <w:t>social history</w:t>
      </w:r>
      <w:r w:rsidR="003E5176">
        <w:rPr>
          <w:sz w:val="24"/>
          <w:szCs w:val="24"/>
        </w:rPr>
        <w:t>.</w:t>
      </w:r>
      <w:r w:rsidR="00CA4593">
        <w:rPr>
          <w:sz w:val="24"/>
          <w:szCs w:val="24"/>
        </w:rPr>
        <w:t xml:space="preserve"> </w:t>
      </w:r>
    </w:p>
    <w:p w14:paraId="52AD6FA4" w14:textId="3E8B4808" w:rsidR="00131478" w:rsidRDefault="00E03327" w:rsidP="00145FF0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 xml:space="preserve">Argue that </w:t>
      </w:r>
      <w:r w:rsidR="00F02A17">
        <w:rPr>
          <w:sz w:val="24"/>
          <w:szCs w:val="24"/>
        </w:rPr>
        <w:t>the change in the law</w:t>
      </w:r>
      <w:r w:rsidR="00131478">
        <w:rPr>
          <w:sz w:val="24"/>
          <w:szCs w:val="24"/>
        </w:rPr>
        <w:t xml:space="preserve"> is remedial </w:t>
      </w:r>
      <w:r w:rsidR="00F21A68">
        <w:rPr>
          <w:sz w:val="24"/>
          <w:szCs w:val="24"/>
        </w:rPr>
        <w:t xml:space="preserve">and therefore should apply retroactively </w:t>
      </w:r>
      <w:r w:rsidR="00131478">
        <w:rPr>
          <w:sz w:val="24"/>
          <w:szCs w:val="24"/>
        </w:rPr>
        <w:t xml:space="preserve">(this issue was not addressed in </w:t>
      </w:r>
      <w:r w:rsidR="00131478" w:rsidRPr="00131478">
        <w:rPr>
          <w:i/>
          <w:iCs/>
          <w:sz w:val="24"/>
          <w:szCs w:val="24"/>
        </w:rPr>
        <w:t>Jenks</w:t>
      </w:r>
      <w:r w:rsidR="00131478">
        <w:rPr>
          <w:sz w:val="24"/>
          <w:szCs w:val="24"/>
        </w:rPr>
        <w:t xml:space="preserve"> at the Supreme Court, but was addressed </w:t>
      </w:r>
      <w:r w:rsidR="00847ED5">
        <w:rPr>
          <w:sz w:val="24"/>
          <w:szCs w:val="24"/>
        </w:rPr>
        <w:t xml:space="preserve">and rejected </w:t>
      </w:r>
      <w:r w:rsidR="00131478">
        <w:rPr>
          <w:sz w:val="24"/>
          <w:szCs w:val="24"/>
        </w:rPr>
        <w:t>at the Court of Appeals</w:t>
      </w:r>
      <w:r w:rsidR="00E84FC1">
        <w:rPr>
          <w:sz w:val="24"/>
          <w:szCs w:val="24"/>
        </w:rPr>
        <w:t xml:space="preserve">, </w:t>
      </w:r>
      <w:r w:rsidR="00E84FC1" w:rsidRPr="00E84FC1">
        <w:rPr>
          <w:i/>
          <w:iCs/>
          <w:sz w:val="24"/>
          <w:szCs w:val="24"/>
        </w:rPr>
        <w:t>State v. Jenks</w:t>
      </w:r>
      <w:r w:rsidR="00E84FC1">
        <w:rPr>
          <w:sz w:val="24"/>
          <w:szCs w:val="24"/>
        </w:rPr>
        <w:t xml:space="preserve"> 12 Wn.App.2d 588, 459 P.3d 389 (2020)</w:t>
      </w:r>
      <w:r w:rsidR="00131478">
        <w:rPr>
          <w:sz w:val="24"/>
          <w:szCs w:val="24"/>
        </w:rPr>
        <w:t>.</w:t>
      </w:r>
    </w:p>
    <w:p w14:paraId="4066C5E4" w14:textId="77777777" w:rsidR="00BC6DAF" w:rsidRPr="00145FF0" w:rsidRDefault="00BC6DAF" w:rsidP="005423DB">
      <w:pPr>
        <w:pStyle w:val="ListParagraph"/>
        <w:ind w:left="0"/>
        <w:rPr>
          <w:sz w:val="24"/>
          <w:szCs w:val="24"/>
        </w:rPr>
      </w:pPr>
    </w:p>
    <w:p w14:paraId="7BBBDFC1" w14:textId="46273DAA" w:rsidR="00306E5B" w:rsidRPr="00B25F99" w:rsidRDefault="00145FF0" w:rsidP="005423DB">
      <w:pPr>
        <w:pStyle w:val="ListParagraph"/>
        <w:ind w:left="0"/>
        <w:rPr>
          <w:b/>
          <w:bCs/>
          <w:sz w:val="24"/>
          <w:szCs w:val="24"/>
        </w:rPr>
      </w:pPr>
      <w:r w:rsidRPr="00B25F99">
        <w:rPr>
          <w:b/>
          <w:bCs/>
          <w:sz w:val="24"/>
          <w:szCs w:val="24"/>
        </w:rPr>
        <w:t xml:space="preserve">Possible </w:t>
      </w:r>
      <w:r w:rsidR="00B25F99">
        <w:rPr>
          <w:b/>
          <w:bCs/>
          <w:sz w:val="24"/>
          <w:szCs w:val="24"/>
        </w:rPr>
        <w:t>s</w:t>
      </w:r>
      <w:r w:rsidR="00306E5B" w:rsidRPr="00B25F99">
        <w:rPr>
          <w:b/>
          <w:bCs/>
          <w:sz w:val="24"/>
          <w:szCs w:val="24"/>
        </w:rPr>
        <w:t>trateg</w:t>
      </w:r>
      <w:r w:rsidRPr="00B25F99">
        <w:rPr>
          <w:b/>
          <w:bCs/>
          <w:sz w:val="24"/>
          <w:szCs w:val="24"/>
        </w:rPr>
        <w:t>ies</w:t>
      </w:r>
      <w:r w:rsidR="00131478" w:rsidRPr="00B25F99">
        <w:rPr>
          <w:b/>
          <w:bCs/>
          <w:sz w:val="24"/>
          <w:szCs w:val="24"/>
        </w:rPr>
        <w:t xml:space="preserve"> for </w:t>
      </w:r>
      <w:r w:rsidR="00B25F99" w:rsidRPr="00B25F99">
        <w:rPr>
          <w:b/>
          <w:bCs/>
          <w:sz w:val="24"/>
          <w:szCs w:val="24"/>
        </w:rPr>
        <w:t>s</w:t>
      </w:r>
      <w:r w:rsidR="00131478" w:rsidRPr="00B25F99">
        <w:rPr>
          <w:b/>
          <w:bCs/>
          <w:sz w:val="24"/>
          <w:szCs w:val="24"/>
        </w:rPr>
        <w:t>entencing</w:t>
      </w:r>
      <w:r w:rsidR="00B25F99" w:rsidRPr="00B25F99">
        <w:rPr>
          <w:b/>
          <w:bCs/>
          <w:sz w:val="24"/>
          <w:szCs w:val="24"/>
        </w:rPr>
        <w:t xml:space="preserve"> in cases with a crime date prior to July 23, 2023: </w:t>
      </w:r>
      <w:r w:rsidR="00306E5B" w:rsidRPr="00B25F99">
        <w:rPr>
          <w:b/>
          <w:bCs/>
          <w:sz w:val="24"/>
          <w:szCs w:val="24"/>
        </w:rPr>
        <w:t xml:space="preserve"> </w:t>
      </w:r>
    </w:p>
    <w:p w14:paraId="635037A2" w14:textId="37FBE8FD" w:rsidR="00BC6DAF" w:rsidRDefault="006B16DD" w:rsidP="00145FF0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r w:rsidR="003F20CE">
        <w:rPr>
          <w:sz w:val="24"/>
          <w:szCs w:val="24"/>
        </w:rPr>
        <w:t xml:space="preserve">sentencing </w:t>
      </w:r>
      <w:r>
        <w:rPr>
          <w:sz w:val="24"/>
          <w:szCs w:val="24"/>
        </w:rPr>
        <w:t xml:space="preserve">hearings taking place </w:t>
      </w:r>
      <w:r w:rsidR="00BC6DAF">
        <w:rPr>
          <w:sz w:val="24"/>
          <w:szCs w:val="24"/>
        </w:rPr>
        <w:t>after July 23, 2023</w:t>
      </w:r>
      <w:r w:rsidR="003F20CE">
        <w:rPr>
          <w:sz w:val="24"/>
          <w:szCs w:val="24"/>
        </w:rPr>
        <w:t>,</w:t>
      </w:r>
      <w:r w:rsidR="003E5176">
        <w:rPr>
          <w:sz w:val="24"/>
          <w:szCs w:val="24"/>
        </w:rPr>
        <w:t xml:space="preserve"> advocate for the court to apply the </w:t>
      </w:r>
      <w:r w:rsidR="00E03327">
        <w:rPr>
          <w:sz w:val="24"/>
          <w:szCs w:val="24"/>
        </w:rPr>
        <w:t xml:space="preserve">new </w:t>
      </w:r>
      <w:r w:rsidR="003E5176">
        <w:rPr>
          <w:sz w:val="24"/>
          <w:szCs w:val="24"/>
        </w:rPr>
        <w:t>law</w:t>
      </w:r>
      <w:r w:rsidR="003F20CE">
        <w:rPr>
          <w:sz w:val="24"/>
          <w:szCs w:val="24"/>
        </w:rPr>
        <w:t xml:space="preserve"> regardless of date of offense. Argue that </w:t>
      </w:r>
      <w:r w:rsidR="009C5A25">
        <w:rPr>
          <w:sz w:val="24"/>
          <w:szCs w:val="24"/>
        </w:rPr>
        <w:t xml:space="preserve">the critical date is not date of offense, but date of sentencing. See a sample brief </w:t>
      </w:r>
      <w:hyperlink r:id="rId16" w:history="1">
        <w:r w:rsidR="009C5A25" w:rsidRPr="009C5A25">
          <w:rPr>
            <w:rStyle w:val="Hyperlink"/>
            <w:sz w:val="24"/>
            <w:szCs w:val="24"/>
          </w:rPr>
          <w:t>here</w:t>
        </w:r>
      </w:hyperlink>
      <w:r w:rsidR="007A5835">
        <w:rPr>
          <w:sz w:val="24"/>
          <w:szCs w:val="24"/>
        </w:rPr>
        <w:t xml:space="preserve">, the State’s stock brief </w:t>
      </w:r>
      <w:hyperlink r:id="rId17" w:history="1">
        <w:r w:rsidR="007A5835" w:rsidRPr="007A5835">
          <w:rPr>
            <w:rStyle w:val="Hyperlink"/>
            <w:sz w:val="24"/>
            <w:szCs w:val="24"/>
          </w:rPr>
          <w:t>here</w:t>
        </w:r>
      </w:hyperlink>
      <w:r w:rsidR="007A5835">
        <w:rPr>
          <w:sz w:val="24"/>
          <w:szCs w:val="24"/>
        </w:rPr>
        <w:t xml:space="preserve">, and a Defense Reply Brief to the State’s stock brief </w:t>
      </w:r>
      <w:hyperlink r:id="rId18" w:history="1">
        <w:r w:rsidR="007A5835" w:rsidRPr="007A5835">
          <w:rPr>
            <w:rStyle w:val="Hyperlink"/>
            <w:sz w:val="24"/>
            <w:szCs w:val="24"/>
          </w:rPr>
          <w:t>here</w:t>
        </w:r>
      </w:hyperlink>
      <w:r w:rsidR="009C5A25">
        <w:rPr>
          <w:sz w:val="24"/>
          <w:szCs w:val="24"/>
        </w:rPr>
        <w:t xml:space="preserve">. </w:t>
      </w:r>
      <w:r w:rsidR="00782B8E">
        <w:rPr>
          <w:sz w:val="24"/>
          <w:szCs w:val="24"/>
        </w:rPr>
        <w:t xml:space="preserve"> For a case that was final before the effective date of the bill, see the sample brief </w:t>
      </w:r>
      <w:hyperlink r:id="rId19" w:history="1">
        <w:r w:rsidR="00782B8E" w:rsidRPr="00782B8E">
          <w:rPr>
            <w:rStyle w:val="Hyperlink"/>
            <w:sz w:val="24"/>
            <w:szCs w:val="24"/>
          </w:rPr>
          <w:t>here</w:t>
        </w:r>
      </w:hyperlink>
      <w:r w:rsidR="00782B8E">
        <w:rPr>
          <w:sz w:val="24"/>
          <w:szCs w:val="24"/>
        </w:rPr>
        <w:t xml:space="preserve"> arguing the sentence should be vacated and a new sentence imposed following a new calculation of the offender score – the court should apply the law retroactively and outside the 1 year time bar because the change in the law is significant and material.</w:t>
      </w:r>
    </w:p>
    <w:p w14:paraId="1519EB3E" w14:textId="325F54B7" w:rsidR="00131478" w:rsidRDefault="00131478" w:rsidP="00145FF0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Negotiate a deal with the prosecutor that results in the same outcome as if the juvenile priors were not scored.</w:t>
      </w:r>
    </w:p>
    <w:p w14:paraId="75DD446E" w14:textId="7177D7AC" w:rsidR="003E5176" w:rsidRDefault="00BC6DAF" w:rsidP="00145FF0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3E5176">
        <w:rPr>
          <w:sz w:val="24"/>
          <w:szCs w:val="24"/>
        </w:rPr>
        <w:t xml:space="preserve">tate the different offender score and standard range in a defense sentencing memo and at </w:t>
      </w:r>
      <w:r w:rsidR="00E03327">
        <w:rPr>
          <w:sz w:val="24"/>
          <w:szCs w:val="24"/>
        </w:rPr>
        <w:t>a</w:t>
      </w:r>
      <w:r w:rsidR="003E5176">
        <w:rPr>
          <w:sz w:val="24"/>
          <w:szCs w:val="24"/>
        </w:rPr>
        <w:t xml:space="preserve"> sentencing hearing </w:t>
      </w:r>
      <w:r w:rsidR="00E03327">
        <w:rPr>
          <w:sz w:val="24"/>
          <w:szCs w:val="24"/>
        </w:rPr>
        <w:t xml:space="preserve">where </w:t>
      </w:r>
      <w:r w:rsidR="003E5176">
        <w:rPr>
          <w:sz w:val="24"/>
          <w:szCs w:val="24"/>
        </w:rPr>
        <w:t xml:space="preserve">the prior law </w:t>
      </w:r>
      <w:r w:rsidR="00E03327">
        <w:rPr>
          <w:sz w:val="24"/>
          <w:szCs w:val="24"/>
        </w:rPr>
        <w:t xml:space="preserve">is being applied </w:t>
      </w:r>
      <w:r w:rsidR="003E5176">
        <w:rPr>
          <w:sz w:val="24"/>
          <w:szCs w:val="24"/>
        </w:rPr>
        <w:t>and the revised law</w:t>
      </w:r>
      <w:r w:rsidR="00E03327">
        <w:rPr>
          <w:sz w:val="24"/>
          <w:szCs w:val="24"/>
        </w:rPr>
        <w:t xml:space="preserve"> is in effect</w:t>
      </w:r>
      <w:r w:rsidR="00B25F99">
        <w:rPr>
          <w:sz w:val="24"/>
          <w:szCs w:val="24"/>
        </w:rPr>
        <w:t>—make the offender score and standard range discrepancy part of the record</w:t>
      </w:r>
      <w:r w:rsidR="003E5176">
        <w:rPr>
          <w:sz w:val="24"/>
          <w:szCs w:val="24"/>
        </w:rPr>
        <w:t xml:space="preserve">. </w:t>
      </w:r>
    </w:p>
    <w:p w14:paraId="5B568627" w14:textId="1889885F" w:rsidR="002060D4" w:rsidRPr="00E2200E" w:rsidRDefault="00BC6DAF" w:rsidP="00E2200E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Seek </w:t>
      </w:r>
      <w:r w:rsidR="00B25F99">
        <w:rPr>
          <w:sz w:val="24"/>
          <w:szCs w:val="24"/>
        </w:rPr>
        <w:t xml:space="preserve">an </w:t>
      </w:r>
      <w:r>
        <w:rPr>
          <w:sz w:val="24"/>
          <w:szCs w:val="24"/>
        </w:rPr>
        <w:t xml:space="preserve">exceptional </w:t>
      </w:r>
      <w:r w:rsidR="00B25F99">
        <w:rPr>
          <w:sz w:val="24"/>
          <w:szCs w:val="24"/>
        </w:rPr>
        <w:t xml:space="preserve">sentence </w:t>
      </w:r>
      <w:r>
        <w:rPr>
          <w:sz w:val="24"/>
          <w:szCs w:val="24"/>
        </w:rPr>
        <w:t>down</w:t>
      </w:r>
      <w:r w:rsidR="00B25F99">
        <w:rPr>
          <w:sz w:val="24"/>
          <w:szCs w:val="24"/>
        </w:rPr>
        <w:t xml:space="preserve">ward </w:t>
      </w:r>
      <w:r>
        <w:rPr>
          <w:sz w:val="24"/>
          <w:szCs w:val="24"/>
        </w:rPr>
        <w:t>on any basis</w:t>
      </w:r>
      <w:r w:rsidR="00E2200E">
        <w:rPr>
          <w:sz w:val="24"/>
          <w:szCs w:val="24"/>
        </w:rPr>
        <w:t xml:space="preserve"> that is already recognized (by statute or caselaw)</w:t>
      </w:r>
      <w:r w:rsidR="004958E2">
        <w:rPr>
          <w:sz w:val="24"/>
          <w:szCs w:val="24"/>
        </w:rPr>
        <w:t>,</w:t>
      </w:r>
      <w:r w:rsidR="00BF086E">
        <w:rPr>
          <w:sz w:val="24"/>
          <w:szCs w:val="24"/>
        </w:rPr>
        <w:t xml:space="preserve"> AND point out change in the law as additional </w:t>
      </w:r>
      <w:r w:rsidR="00B25F99">
        <w:rPr>
          <w:sz w:val="24"/>
          <w:szCs w:val="24"/>
        </w:rPr>
        <w:t>mitigating factor for</w:t>
      </w:r>
      <w:r w:rsidR="00BF086E">
        <w:rPr>
          <w:sz w:val="24"/>
          <w:szCs w:val="24"/>
        </w:rPr>
        <w:t xml:space="preserve"> consideration</w:t>
      </w:r>
      <w:r w:rsidR="00B25F99">
        <w:rPr>
          <w:sz w:val="24"/>
          <w:szCs w:val="24"/>
        </w:rPr>
        <w:t xml:space="preserve"> when imposing a sentence</w:t>
      </w:r>
      <w:r w:rsidR="003E5176">
        <w:rPr>
          <w:sz w:val="24"/>
          <w:szCs w:val="24"/>
        </w:rPr>
        <w:t xml:space="preserve">.  Once the court has a basis to depart from the standard range, the court has wide discretion to depart on the length of confinement, as well as other terms of the sentence.  </w:t>
      </w:r>
      <w:r w:rsidR="003F20CE">
        <w:rPr>
          <w:sz w:val="24"/>
          <w:szCs w:val="24"/>
        </w:rPr>
        <w:t xml:space="preserve">See the WDA Practice Advisory </w:t>
      </w:r>
      <w:r w:rsidR="003F20CE" w:rsidRPr="003F20CE">
        <w:rPr>
          <w:b/>
          <w:bCs/>
          <w:i/>
          <w:iCs/>
          <w:sz w:val="24"/>
          <w:szCs w:val="24"/>
        </w:rPr>
        <w:t xml:space="preserve">on Exceptional Down SRA </w:t>
      </w:r>
      <w:r w:rsidR="003F20CE">
        <w:rPr>
          <w:b/>
          <w:bCs/>
          <w:i/>
          <w:iCs/>
          <w:sz w:val="24"/>
          <w:szCs w:val="24"/>
        </w:rPr>
        <w:t>C</w:t>
      </w:r>
      <w:r w:rsidR="003F20CE" w:rsidRPr="003F20CE">
        <w:rPr>
          <w:b/>
          <w:bCs/>
          <w:i/>
          <w:iCs/>
          <w:sz w:val="24"/>
          <w:szCs w:val="24"/>
        </w:rPr>
        <w:t>hecklist with Cites</w:t>
      </w:r>
      <w:r w:rsidR="003F20CE">
        <w:rPr>
          <w:sz w:val="24"/>
          <w:szCs w:val="24"/>
        </w:rPr>
        <w:t xml:space="preserve"> </w:t>
      </w:r>
      <w:hyperlink r:id="rId20" w:history="1">
        <w:r w:rsidR="003F20CE" w:rsidRPr="003F20CE">
          <w:rPr>
            <w:rStyle w:val="Hyperlink"/>
            <w:sz w:val="24"/>
            <w:szCs w:val="24"/>
          </w:rPr>
          <w:t>here</w:t>
        </w:r>
      </w:hyperlink>
      <w:r w:rsidR="003F20CE">
        <w:rPr>
          <w:sz w:val="24"/>
          <w:szCs w:val="24"/>
        </w:rPr>
        <w:t xml:space="preserve">. </w:t>
      </w:r>
    </w:p>
    <w:p w14:paraId="1CBE91E8" w14:textId="77777777" w:rsidR="00E2200E" w:rsidRDefault="00E2200E" w:rsidP="005423DB">
      <w:pPr>
        <w:pStyle w:val="ListParagraph"/>
        <w:ind w:left="0"/>
        <w:rPr>
          <w:b/>
          <w:bCs/>
          <w:sz w:val="24"/>
          <w:szCs w:val="24"/>
        </w:rPr>
      </w:pPr>
    </w:p>
    <w:p w14:paraId="60C9B444" w14:textId="2FA59436" w:rsidR="00782B8E" w:rsidRDefault="00E85422" w:rsidP="005423DB">
      <w:pPr>
        <w:pStyle w:val="ListParagraph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WA Court of Appeals </w:t>
      </w:r>
      <w:r w:rsidR="009A30B9">
        <w:rPr>
          <w:b/>
          <w:bCs/>
          <w:sz w:val="24"/>
          <w:szCs w:val="24"/>
        </w:rPr>
        <w:t>c</w:t>
      </w:r>
      <w:r w:rsidR="00782B8E">
        <w:rPr>
          <w:b/>
          <w:bCs/>
          <w:sz w:val="24"/>
          <w:szCs w:val="24"/>
        </w:rPr>
        <w:t>ase</w:t>
      </w:r>
      <w:r w:rsidR="009A30B9">
        <w:rPr>
          <w:b/>
          <w:bCs/>
          <w:sz w:val="24"/>
          <w:szCs w:val="24"/>
        </w:rPr>
        <w:t>s</w:t>
      </w:r>
      <w:r w:rsidR="00782B8E">
        <w:rPr>
          <w:b/>
          <w:bCs/>
          <w:sz w:val="24"/>
          <w:szCs w:val="24"/>
        </w:rPr>
        <w:t xml:space="preserve"> of </w:t>
      </w:r>
      <w:r w:rsidR="00F02A17">
        <w:rPr>
          <w:b/>
          <w:bCs/>
          <w:sz w:val="24"/>
          <w:szCs w:val="24"/>
        </w:rPr>
        <w:t>3.5.25</w:t>
      </w:r>
      <w:r w:rsidR="00782B8E">
        <w:rPr>
          <w:b/>
          <w:bCs/>
          <w:sz w:val="24"/>
          <w:szCs w:val="24"/>
        </w:rPr>
        <w:t>:</w:t>
      </w:r>
    </w:p>
    <w:p w14:paraId="0EBB8D30" w14:textId="7F18BE2E" w:rsidR="00F02A17" w:rsidRPr="00F02A17" w:rsidRDefault="00F02A17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</w:t>
      </w:r>
      <w:r w:rsidR="00E65A17">
        <w:rPr>
          <w:i/>
          <w:iCs/>
          <w:sz w:val="24"/>
          <w:szCs w:val="24"/>
        </w:rPr>
        <w:t xml:space="preserve">Solomon </w:t>
      </w:r>
      <w:r>
        <w:rPr>
          <w:i/>
          <w:iCs/>
          <w:sz w:val="24"/>
          <w:szCs w:val="24"/>
        </w:rPr>
        <w:t xml:space="preserve">Gibson, </w:t>
      </w:r>
      <w:r w:rsidR="00D25DAB" w:rsidRPr="00D25DAB">
        <w:rPr>
          <w:sz w:val="24"/>
          <w:szCs w:val="24"/>
        </w:rPr>
        <w:t>___P.3d ___</w:t>
      </w:r>
      <w:r w:rsidR="00D25DAB">
        <w:rPr>
          <w:sz w:val="24"/>
          <w:szCs w:val="24"/>
        </w:rPr>
        <w:t xml:space="preserve">, 2025 WL 543804 </w:t>
      </w:r>
      <w:r w:rsidR="009026C9" w:rsidRPr="009026C9">
        <w:rPr>
          <w:sz w:val="24"/>
          <w:szCs w:val="24"/>
        </w:rPr>
        <w:t>(</w:t>
      </w:r>
      <w:r w:rsidR="00E65A17">
        <w:rPr>
          <w:sz w:val="24"/>
          <w:szCs w:val="24"/>
        </w:rPr>
        <w:t xml:space="preserve">No. 58962-1, </w:t>
      </w:r>
      <w:r w:rsidR="009026C9" w:rsidRPr="009026C9">
        <w:rPr>
          <w:sz w:val="24"/>
          <w:szCs w:val="24"/>
        </w:rPr>
        <w:t>Div II)</w:t>
      </w:r>
      <w:r w:rsidR="009026C9">
        <w:rPr>
          <w:sz w:val="24"/>
          <w:szCs w:val="24"/>
        </w:rPr>
        <w:t xml:space="preserve"> </w:t>
      </w:r>
      <w:r w:rsidR="009026C9" w:rsidRPr="009026C9">
        <w:rPr>
          <w:sz w:val="24"/>
          <w:szCs w:val="24"/>
        </w:rPr>
        <w:t>(</w:t>
      </w:r>
      <w:r w:rsidR="009026C9">
        <w:rPr>
          <w:sz w:val="24"/>
          <w:szCs w:val="24"/>
        </w:rPr>
        <w:t>Feb. 19, 2025)</w:t>
      </w:r>
      <w:r w:rsidR="009A30B9">
        <w:rPr>
          <w:sz w:val="24"/>
          <w:szCs w:val="24"/>
        </w:rPr>
        <w:t xml:space="preserve"> </w:t>
      </w:r>
      <w:r w:rsidR="009026C9">
        <w:rPr>
          <w:sz w:val="24"/>
          <w:szCs w:val="24"/>
        </w:rPr>
        <w:t>(2023 amendments to 9.94A.525(1)(b) do not apply to offense that occurred prior to effective date)</w:t>
      </w:r>
      <w:r w:rsidR="009A30B9">
        <w:rPr>
          <w:sz w:val="24"/>
          <w:szCs w:val="24"/>
        </w:rPr>
        <w:t>;</w:t>
      </w:r>
      <w:r w:rsidR="009A30B9" w:rsidRPr="009A30B9">
        <w:rPr>
          <w:sz w:val="24"/>
          <w:szCs w:val="24"/>
        </w:rPr>
        <w:t xml:space="preserve"> </w:t>
      </w:r>
      <w:r w:rsidR="009A30B9">
        <w:rPr>
          <w:sz w:val="24"/>
          <w:szCs w:val="24"/>
        </w:rPr>
        <w:t xml:space="preserve">See Mr. </w:t>
      </w:r>
      <w:r w:rsidR="00E23845">
        <w:rPr>
          <w:sz w:val="24"/>
          <w:szCs w:val="24"/>
        </w:rPr>
        <w:t xml:space="preserve">Solomon </w:t>
      </w:r>
      <w:r w:rsidR="009A30B9">
        <w:rPr>
          <w:sz w:val="24"/>
          <w:szCs w:val="24"/>
        </w:rPr>
        <w:t xml:space="preserve">Gibson’s appellate brief by Willa Osborn </w:t>
      </w:r>
      <w:hyperlink r:id="rId21" w:history="1">
        <w:r w:rsidR="009A30B9" w:rsidRPr="0056034D">
          <w:rPr>
            <w:rStyle w:val="Hyperlink"/>
            <w:sz w:val="24"/>
            <w:szCs w:val="24"/>
          </w:rPr>
          <w:t>here</w:t>
        </w:r>
      </w:hyperlink>
      <w:r w:rsidR="009A30B9">
        <w:rPr>
          <w:sz w:val="24"/>
          <w:szCs w:val="24"/>
        </w:rPr>
        <w:t>.</w:t>
      </w:r>
    </w:p>
    <w:p w14:paraId="1C4A782D" w14:textId="34C899A8" w:rsidR="00B36D01" w:rsidRPr="00143C1A" w:rsidRDefault="00B36D01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Troutman, </w:t>
      </w:r>
      <w:r>
        <w:rPr>
          <w:sz w:val="24"/>
          <w:szCs w:val="24"/>
        </w:rPr>
        <w:t>546 P.3d 458 (2024) (</w:t>
      </w:r>
      <w:r w:rsidR="0041753E">
        <w:rPr>
          <w:sz w:val="24"/>
          <w:szCs w:val="24"/>
        </w:rPr>
        <w:t xml:space="preserve">Felony DUI </w:t>
      </w:r>
      <w:r w:rsidR="000435DF">
        <w:rPr>
          <w:sz w:val="24"/>
          <w:szCs w:val="24"/>
        </w:rPr>
        <w:t>conviction</w:t>
      </w:r>
      <w:r w:rsidR="0041753E">
        <w:rPr>
          <w:sz w:val="24"/>
          <w:szCs w:val="24"/>
        </w:rPr>
        <w:t xml:space="preserve"> occurred </w:t>
      </w:r>
      <w:r w:rsidR="00BE67CB">
        <w:rPr>
          <w:sz w:val="24"/>
          <w:szCs w:val="24"/>
        </w:rPr>
        <w:t xml:space="preserve">and was sentenced </w:t>
      </w:r>
      <w:r w:rsidR="0041753E">
        <w:rPr>
          <w:sz w:val="24"/>
          <w:szCs w:val="24"/>
        </w:rPr>
        <w:t xml:space="preserve">prior to change in law, and case was on appeal at the time the law became effective. COA held that </w:t>
      </w:r>
      <w:r>
        <w:rPr>
          <w:sz w:val="24"/>
          <w:szCs w:val="24"/>
        </w:rPr>
        <w:t>amended scoring statute applied prospective only</w:t>
      </w:r>
      <w:r w:rsidR="0041753E">
        <w:rPr>
          <w:sz w:val="24"/>
          <w:szCs w:val="24"/>
        </w:rPr>
        <w:t xml:space="preserve">, </w:t>
      </w:r>
      <w:r w:rsidR="0041753E" w:rsidRPr="00143C1A">
        <w:rPr>
          <w:sz w:val="24"/>
          <w:szCs w:val="24"/>
        </w:rPr>
        <w:t>but also states that the triggering date is date of sentencing</w:t>
      </w:r>
      <w:r w:rsidRPr="00143C1A">
        <w:rPr>
          <w:sz w:val="24"/>
          <w:szCs w:val="24"/>
        </w:rPr>
        <w:t>) (</w:t>
      </w:r>
      <w:r w:rsidRPr="00143C1A">
        <w:rPr>
          <w:i/>
          <w:iCs/>
          <w:sz w:val="24"/>
          <w:szCs w:val="24"/>
        </w:rPr>
        <w:t>Published in part</w:t>
      </w:r>
      <w:r w:rsidRPr="00143C1A">
        <w:rPr>
          <w:sz w:val="24"/>
          <w:szCs w:val="24"/>
        </w:rPr>
        <w:t>).</w:t>
      </w:r>
    </w:p>
    <w:p w14:paraId="3C095F96" w14:textId="6927994B" w:rsidR="0041753E" w:rsidRPr="00143C1A" w:rsidRDefault="0041753E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Tester, </w:t>
      </w:r>
      <w:r>
        <w:rPr>
          <w:sz w:val="24"/>
          <w:szCs w:val="24"/>
        </w:rPr>
        <w:t xml:space="preserve">546 P.3d 94 (2024) </w:t>
      </w:r>
      <w:r w:rsidR="00455C04">
        <w:rPr>
          <w:sz w:val="24"/>
          <w:szCs w:val="24"/>
        </w:rPr>
        <w:t>(</w:t>
      </w:r>
      <w:r w:rsidR="00455C04" w:rsidRPr="00455C04">
        <w:rPr>
          <w:i/>
          <w:iCs/>
          <w:sz w:val="24"/>
          <w:szCs w:val="24"/>
        </w:rPr>
        <w:t>Published in part</w:t>
      </w:r>
      <w:r w:rsidR="00455C04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(crime and sentencing occurred before change in law, change in law does not apply retroactively to cases on appeal when </w:t>
      </w:r>
      <w:r w:rsidR="00455C04">
        <w:rPr>
          <w:sz w:val="24"/>
          <w:szCs w:val="24"/>
        </w:rPr>
        <w:t>new</w:t>
      </w:r>
      <w:r>
        <w:rPr>
          <w:sz w:val="24"/>
          <w:szCs w:val="24"/>
        </w:rPr>
        <w:t xml:space="preserve"> law </w:t>
      </w:r>
      <w:r w:rsidR="00455C04">
        <w:rPr>
          <w:sz w:val="24"/>
          <w:szCs w:val="24"/>
        </w:rPr>
        <w:t xml:space="preserve">becomes effective. </w:t>
      </w:r>
      <w:r w:rsidR="00455C04" w:rsidRPr="00143C1A">
        <w:rPr>
          <w:sz w:val="24"/>
          <w:szCs w:val="24"/>
        </w:rPr>
        <w:t>The triggering event for determining an offender score is the date of sentence)</w:t>
      </w:r>
    </w:p>
    <w:p w14:paraId="732D9C78" w14:textId="272C10E3" w:rsidR="00B66BE1" w:rsidRDefault="00B66BE1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Lam, </w:t>
      </w:r>
      <w:r>
        <w:rPr>
          <w:sz w:val="24"/>
          <w:szCs w:val="24"/>
        </w:rPr>
        <w:t xml:space="preserve">Unpublished, </w:t>
      </w:r>
      <w:r w:rsidRPr="00782B8E">
        <w:rPr>
          <w:sz w:val="24"/>
          <w:szCs w:val="24"/>
        </w:rPr>
        <w:t xml:space="preserve">2024 WL </w:t>
      </w:r>
      <w:r>
        <w:rPr>
          <w:sz w:val="24"/>
          <w:szCs w:val="24"/>
        </w:rPr>
        <w:t>4853529</w:t>
      </w:r>
      <w:r w:rsidRPr="00782B8E">
        <w:rPr>
          <w:sz w:val="24"/>
          <w:szCs w:val="24"/>
        </w:rPr>
        <w:t xml:space="preserve"> (</w:t>
      </w:r>
      <w:r>
        <w:rPr>
          <w:sz w:val="24"/>
          <w:szCs w:val="24"/>
        </w:rPr>
        <w:t>Court of Appeals, Div. 2, Nov. 21, 20</w:t>
      </w:r>
      <w:r w:rsidRPr="00782B8E">
        <w:rPr>
          <w:sz w:val="24"/>
          <w:szCs w:val="24"/>
        </w:rPr>
        <w:t>24)</w:t>
      </w:r>
    </w:p>
    <w:p w14:paraId="259644E3" w14:textId="7A2B03D0" w:rsidR="00B66BE1" w:rsidRDefault="00B66BE1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Lam, </w:t>
      </w:r>
      <w:r>
        <w:rPr>
          <w:sz w:val="24"/>
          <w:szCs w:val="24"/>
        </w:rPr>
        <w:t xml:space="preserve">Unpublished, </w:t>
      </w:r>
      <w:r w:rsidRPr="00782B8E">
        <w:rPr>
          <w:sz w:val="24"/>
          <w:szCs w:val="24"/>
        </w:rPr>
        <w:t xml:space="preserve">2024 WL </w:t>
      </w:r>
      <w:r>
        <w:rPr>
          <w:sz w:val="24"/>
          <w:szCs w:val="24"/>
        </w:rPr>
        <w:t>4851432</w:t>
      </w:r>
      <w:r w:rsidRPr="00782B8E">
        <w:rPr>
          <w:sz w:val="24"/>
          <w:szCs w:val="24"/>
        </w:rPr>
        <w:t xml:space="preserve"> (</w:t>
      </w:r>
      <w:r>
        <w:rPr>
          <w:sz w:val="24"/>
          <w:szCs w:val="24"/>
        </w:rPr>
        <w:t>Court of Appeals, Div. 2, Nov. 21, 20</w:t>
      </w:r>
      <w:r w:rsidRPr="00782B8E">
        <w:rPr>
          <w:sz w:val="24"/>
          <w:szCs w:val="24"/>
        </w:rPr>
        <w:t>24)</w:t>
      </w:r>
    </w:p>
    <w:p w14:paraId="745D3676" w14:textId="26D5CD6E" w:rsidR="00B66BE1" w:rsidRPr="00B66BE1" w:rsidRDefault="00B66BE1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Watson, </w:t>
      </w:r>
      <w:r>
        <w:rPr>
          <w:sz w:val="24"/>
          <w:szCs w:val="24"/>
        </w:rPr>
        <w:t xml:space="preserve">Unpublished, </w:t>
      </w:r>
      <w:r w:rsidRPr="00782B8E">
        <w:rPr>
          <w:sz w:val="24"/>
          <w:szCs w:val="24"/>
        </w:rPr>
        <w:t xml:space="preserve">2024 WL </w:t>
      </w:r>
      <w:r>
        <w:rPr>
          <w:sz w:val="24"/>
          <w:szCs w:val="24"/>
        </w:rPr>
        <w:t>4824885</w:t>
      </w:r>
      <w:r w:rsidRPr="00782B8E">
        <w:rPr>
          <w:sz w:val="24"/>
          <w:szCs w:val="24"/>
        </w:rPr>
        <w:t xml:space="preserve"> (</w:t>
      </w:r>
      <w:r>
        <w:rPr>
          <w:sz w:val="24"/>
          <w:szCs w:val="24"/>
        </w:rPr>
        <w:t>Court of Appeals, Div. 2, Nov. 19, 20</w:t>
      </w:r>
      <w:r w:rsidRPr="00782B8E">
        <w:rPr>
          <w:sz w:val="24"/>
          <w:szCs w:val="24"/>
        </w:rPr>
        <w:t>24)</w:t>
      </w:r>
    </w:p>
    <w:p w14:paraId="56CCCC0D" w14:textId="68944800" w:rsidR="009026C9" w:rsidRPr="009026C9" w:rsidRDefault="009026C9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Posey, </w:t>
      </w:r>
      <w:r>
        <w:rPr>
          <w:sz w:val="24"/>
          <w:szCs w:val="24"/>
        </w:rPr>
        <w:t xml:space="preserve">Unpublished, </w:t>
      </w:r>
      <w:r w:rsidRPr="00782B8E">
        <w:rPr>
          <w:sz w:val="24"/>
          <w:szCs w:val="24"/>
        </w:rPr>
        <w:t xml:space="preserve">2024 WL </w:t>
      </w:r>
      <w:r w:rsidR="00B66BE1">
        <w:rPr>
          <w:sz w:val="24"/>
          <w:szCs w:val="24"/>
        </w:rPr>
        <w:t>4357413</w:t>
      </w:r>
      <w:r w:rsidRPr="00782B8E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Court of Appeals, Div. </w:t>
      </w:r>
      <w:r w:rsidR="00B66BE1">
        <w:rPr>
          <w:sz w:val="24"/>
          <w:szCs w:val="24"/>
        </w:rPr>
        <w:t>1</w:t>
      </w:r>
      <w:r>
        <w:rPr>
          <w:sz w:val="24"/>
          <w:szCs w:val="24"/>
        </w:rPr>
        <w:t xml:space="preserve">, </w:t>
      </w:r>
      <w:r w:rsidR="00B66BE1">
        <w:rPr>
          <w:sz w:val="24"/>
          <w:szCs w:val="24"/>
        </w:rPr>
        <w:t>Sept. 24</w:t>
      </w:r>
      <w:r>
        <w:rPr>
          <w:sz w:val="24"/>
          <w:szCs w:val="24"/>
        </w:rPr>
        <w:t>, 20</w:t>
      </w:r>
      <w:r w:rsidRPr="00782B8E">
        <w:rPr>
          <w:sz w:val="24"/>
          <w:szCs w:val="24"/>
        </w:rPr>
        <w:t>24)</w:t>
      </w:r>
      <w:r w:rsidR="00B66BE1">
        <w:rPr>
          <w:sz w:val="24"/>
          <w:szCs w:val="24"/>
        </w:rPr>
        <w:t xml:space="preserve"> (change in law scoring juvenile priors not retroactive, relying on 9.94A.345 and 10.01 040)</w:t>
      </w:r>
    </w:p>
    <w:p w14:paraId="74AD9712" w14:textId="4886CDEC" w:rsidR="00C915C1" w:rsidRDefault="00C915C1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State v. </w:t>
      </w:r>
      <w:proofErr w:type="spellStart"/>
      <w:r>
        <w:rPr>
          <w:i/>
          <w:iCs/>
          <w:sz w:val="24"/>
          <w:szCs w:val="24"/>
        </w:rPr>
        <w:t>Twitty</w:t>
      </w:r>
      <w:proofErr w:type="spellEnd"/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 xml:space="preserve">Unpublished, </w:t>
      </w:r>
      <w:r w:rsidRPr="00782B8E">
        <w:rPr>
          <w:sz w:val="24"/>
          <w:szCs w:val="24"/>
        </w:rPr>
        <w:t xml:space="preserve">2024 WL </w:t>
      </w:r>
      <w:r>
        <w:rPr>
          <w:sz w:val="24"/>
          <w:szCs w:val="24"/>
        </w:rPr>
        <w:t>3673013</w:t>
      </w:r>
      <w:r w:rsidRPr="00782B8E">
        <w:rPr>
          <w:sz w:val="24"/>
          <w:szCs w:val="24"/>
        </w:rPr>
        <w:t xml:space="preserve"> (</w:t>
      </w:r>
      <w:r>
        <w:rPr>
          <w:sz w:val="24"/>
          <w:szCs w:val="24"/>
        </w:rPr>
        <w:t>Court of Appeals, Div. 2, Aug. 6, 20</w:t>
      </w:r>
      <w:r w:rsidRPr="00782B8E">
        <w:rPr>
          <w:sz w:val="24"/>
          <w:szCs w:val="24"/>
        </w:rPr>
        <w:t>24)</w:t>
      </w:r>
    </w:p>
    <w:p w14:paraId="33AA6279" w14:textId="12692BC8" w:rsidR="00782B8E" w:rsidRDefault="00782B8E" w:rsidP="0041753E">
      <w:pPr>
        <w:pStyle w:val="ListParagraph"/>
        <w:numPr>
          <w:ilvl w:val="0"/>
          <w:numId w:val="41"/>
        </w:numPr>
        <w:rPr>
          <w:sz w:val="24"/>
          <w:szCs w:val="24"/>
        </w:rPr>
      </w:pPr>
      <w:r w:rsidRPr="00B36D01">
        <w:rPr>
          <w:i/>
          <w:iCs/>
          <w:sz w:val="24"/>
          <w:szCs w:val="24"/>
        </w:rPr>
        <w:t>State v. Cole,</w:t>
      </w:r>
      <w:r w:rsidRPr="00782B8E">
        <w:rPr>
          <w:sz w:val="24"/>
          <w:szCs w:val="24"/>
        </w:rPr>
        <w:t xml:space="preserve"> </w:t>
      </w:r>
      <w:r w:rsidR="009026C9">
        <w:rPr>
          <w:sz w:val="24"/>
          <w:szCs w:val="24"/>
        </w:rPr>
        <w:t xml:space="preserve">Unpublished, </w:t>
      </w:r>
      <w:r w:rsidRPr="00782B8E">
        <w:rPr>
          <w:sz w:val="24"/>
          <w:szCs w:val="24"/>
        </w:rPr>
        <w:t>2024 WL 1281420 (</w:t>
      </w:r>
      <w:r>
        <w:rPr>
          <w:sz w:val="24"/>
          <w:szCs w:val="24"/>
        </w:rPr>
        <w:t xml:space="preserve">Court of Appeals, Div. 2, </w:t>
      </w:r>
      <w:r w:rsidR="00B36D01">
        <w:rPr>
          <w:sz w:val="24"/>
          <w:szCs w:val="24"/>
        </w:rPr>
        <w:t>March 2</w:t>
      </w:r>
      <w:r w:rsidRPr="00782B8E">
        <w:rPr>
          <w:sz w:val="24"/>
          <w:szCs w:val="24"/>
        </w:rPr>
        <w:t>6</w:t>
      </w:r>
      <w:r w:rsidR="00B36D01">
        <w:rPr>
          <w:sz w:val="24"/>
          <w:szCs w:val="24"/>
        </w:rPr>
        <w:t>, 20</w:t>
      </w:r>
      <w:r w:rsidRPr="00782B8E">
        <w:rPr>
          <w:sz w:val="24"/>
          <w:szCs w:val="24"/>
        </w:rPr>
        <w:t>24)</w:t>
      </w:r>
      <w:r>
        <w:rPr>
          <w:sz w:val="24"/>
          <w:szCs w:val="24"/>
        </w:rPr>
        <w:t xml:space="preserve"> (trial court did not abuse its </w:t>
      </w:r>
      <w:r w:rsidR="00B36D01">
        <w:rPr>
          <w:sz w:val="24"/>
          <w:szCs w:val="24"/>
        </w:rPr>
        <w:t>discretion</w:t>
      </w:r>
      <w:r>
        <w:rPr>
          <w:sz w:val="24"/>
          <w:szCs w:val="24"/>
        </w:rPr>
        <w:t xml:space="preserve"> when it failed to impose an exceptional down based on passage of HB 1394)</w:t>
      </w:r>
    </w:p>
    <w:p w14:paraId="353E6035" w14:textId="010AA73A" w:rsidR="004066E9" w:rsidRPr="009026C9" w:rsidRDefault="00E45E80" w:rsidP="004066E9">
      <w:pPr>
        <w:pStyle w:val="ListParagraph"/>
        <w:numPr>
          <w:ilvl w:val="0"/>
          <w:numId w:val="41"/>
        </w:numPr>
        <w:rPr>
          <w:sz w:val="24"/>
          <w:szCs w:val="24"/>
        </w:rPr>
      </w:pPr>
      <w:r w:rsidRPr="004066E9">
        <w:rPr>
          <w:i/>
          <w:iCs/>
          <w:sz w:val="24"/>
          <w:szCs w:val="24"/>
        </w:rPr>
        <w:t xml:space="preserve">State v. Curtis, </w:t>
      </w:r>
      <w:r w:rsidRPr="004066E9">
        <w:rPr>
          <w:sz w:val="24"/>
          <w:szCs w:val="24"/>
        </w:rPr>
        <w:t>Unpublished</w:t>
      </w:r>
      <w:r>
        <w:rPr>
          <w:sz w:val="24"/>
          <w:szCs w:val="24"/>
        </w:rPr>
        <w:t xml:space="preserve">, </w:t>
      </w:r>
      <w:r w:rsidRPr="00782B8E">
        <w:rPr>
          <w:sz w:val="24"/>
          <w:szCs w:val="24"/>
        </w:rPr>
        <w:t xml:space="preserve">2024 WL </w:t>
      </w:r>
      <w:r>
        <w:rPr>
          <w:sz w:val="24"/>
          <w:szCs w:val="24"/>
        </w:rPr>
        <w:t>4602007</w:t>
      </w:r>
      <w:r w:rsidRPr="00782B8E">
        <w:rPr>
          <w:sz w:val="24"/>
          <w:szCs w:val="24"/>
        </w:rPr>
        <w:t xml:space="preserve"> (</w:t>
      </w:r>
      <w:r>
        <w:rPr>
          <w:sz w:val="24"/>
          <w:szCs w:val="24"/>
        </w:rPr>
        <w:t>Court of Appeals, Div. 3, Oct. 29, 20</w:t>
      </w:r>
      <w:r w:rsidRPr="00782B8E">
        <w:rPr>
          <w:sz w:val="24"/>
          <w:szCs w:val="24"/>
        </w:rPr>
        <w:t>24)</w:t>
      </w:r>
      <w:r w:rsidR="004066E9">
        <w:rPr>
          <w:sz w:val="24"/>
          <w:szCs w:val="24"/>
        </w:rPr>
        <w:t xml:space="preserve"> (change in law does not apply at </w:t>
      </w:r>
      <w:r w:rsidR="004066E9" w:rsidRPr="00E23845">
        <w:rPr>
          <w:i/>
          <w:iCs/>
          <w:sz w:val="24"/>
          <w:szCs w:val="24"/>
        </w:rPr>
        <w:t>Blake</w:t>
      </w:r>
      <w:r w:rsidR="004066E9">
        <w:rPr>
          <w:sz w:val="24"/>
          <w:szCs w:val="24"/>
        </w:rPr>
        <w:t xml:space="preserve"> resentencing and is not retroactive, relying on 9.94A.345 and 10.01 040)</w:t>
      </w:r>
    </w:p>
    <w:p w14:paraId="33694C8E" w14:textId="296C727E" w:rsidR="00E45E80" w:rsidRPr="00E23845" w:rsidRDefault="004066E9" w:rsidP="00197376">
      <w:pPr>
        <w:pStyle w:val="ListParagraph"/>
        <w:numPr>
          <w:ilvl w:val="0"/>
          <w:numId w:val="41"/>
        </w:numPr>
        <w:rPr>
          <w:b/>
          <w:bCs/>
          <w:sz w:val="24"/>
          <w:szCs w:val="24"/>
        </w:rPr>
      </w:pPr>
      <w:r w:rsidRPr="00E23845">
        <w:rPr>
          <w:sz w:val="24"/>
          <w:szCs w:val="24"/>
        </w:rPr>
        <w:t xml:space="preserve"> </w:t>
      </w:r>
      <w:r w:rsidR="00E45E80" w:rsidRPr="00E23845">
        <w:rPr>
          <w:i/>
          <w:iCs/>
          <w:sz w:val="24"/>
          <w:szCs w:val="24"/>
        </w:rPr>
        <w:t xml:space="preserve">State v. Bailey, </w:t>
      </w:r>
      <w:r w:rsidR="00E45E80" w:rsidRPr="00E23845">
        <w:rPr>
          <w:sz w:val="24"/>
          <w:szCs w:val="24"/>
        </w:rPr>
        <w:t>Unpublished, 2024 WL 3945078 (Court of Appeals, Div. 2, Aug. 27, 2024)</w:t>
      </w:r>
      <w:r w:rsidR="00E85422" w:rsidRPr="00E23845">
        <w:rPr>
          <w:sz w:val="24"/>
          <w:szCs w:val="24"/>
        </w:rPr>
        <w:t xml:space="preserve"> (change in law does not apply at </w:t>
      </w:r>
      <w:r w:rsidR="00E85422" w:rsidRPr="00E23845">
        <w:rPr>
          <w:i/>
          <w:iCs/>
          <w:sz w:val="24"/>
          <w:szCs w:val="24"/>
        </w:rPr>
        <w:t>Blake</w:t>
      </w:r>
      <w:r w:rsidR="00E85422" w:rsidRPr="00E23845">
        <w:rPr>
          <w:sz w:val="24"/>
          <w:szCs w:val="24"/>
        </w:rPr>
        <w:t xml:space="preserve"> resentencing and is not retroactive)</w:t>
      </w:r>
    </w:p>
    <w:p w14:paraId="7321230A" w14:textId="4DC00099" w:rsidR="00B36D01" w:rsidRPr="00455C04" w:rsidRDefault="00B36D01" w:rsidP="0041753E">
      <w:pPr>
        <w:pStyle w:val="ListParagraph"/>
        <w:numPr>
          <w:ilvl w:val="0"/>
          <w:numId w:val="41"/>
        </w:numPr>
        <w:rPr>
          <w:b/>
          <w:bCs/>
          <w:sz w:val="24"/>
          <w:szCs w:val="24"/>
        </w:rPr>
      </w:pPr>
      <w:r w:rsidRPr="00B36D01">
        <w:rPr>
          <w:i/>
          <w:iCs/>
          <w:sz w:val="24"/>
          <w:szCs w:val="24"/>
        </w:rPr>
        <w:t xml:space="preserve">State v. </w:t>
      </w:r>
      <w:proofErr w:type="spellStart"/>
      <w:r w:rsidRPr="00B36D01">
        <w:rPr>
          <w:i/>
          <w:iCs/>
          <w:sz w:val="24"/>
          <w:szCs w:val="24"/>
        </w:rPr>
        <w:t>Olebar</w:t>
      </w:r>
      <w:proofErr w:type="spellEnd"/>
      <w:r>
        <w:rPr>
          <w:sz w:val="24"/>
          <w:szCs w:val="24"/>
        </w:rPr>
        <w:t xml:space="preserve">, </w:t>
      </w:r>
      <w:r w:rsidR="009026C9">
        <w:rPr>
          <w:sz w:val="24"/>
          <w:szCs w:val="24"/>
        </w:rPr>
        <w:t xml:space="preserve">Unpublished, </w:t>
      </w:r>
      <w:r>
        <w:rPr>
          <w:sz w:val="24"/>
          <w:szCs w:val="24"/>
        </w:rPr>
        <w:t>2024 WL 3410750 (Court of Appeals, Div</w:t>
      </w:r>
      <w:r w:rsidR="00B50F28">
        <w:rPr>
          <w:sz w:val="24"/>
          <w:szCs w:val="24"/>
        </w:rPr>
        <w:t>.</w:t>
      </w:r>
      <w:r>
        <w:rPr>
          <w:sz w:val="24"/>
          <w:szCs w:val="24"/>
        </w:rPr>
        <w:t xml:space="preserve"> I, July 15, 2024) (where crime occurred before change in law, the trial court properly included juvenile prior convictions because law in effect at time of offense controls)</w:t>
      </w:r>
    </w:p>
    <w:p w14:paraId="33D39F52" w14:textId="14287928" w:rsidR="00455C04" w:rsidRDefault="00455C04" w:rsidP="0041753E">
      <w:pPr>
        <w:pStyle w:val="ListParagraph"/>
        <w:numPr>
          <w:ilvl w:val="0"/>
          <w:numId w:val="41"/>
        </w:numPr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State v. Aaron,</w:t>
      </w:r>
      <w:r w:rsidR="009026C9" w:rsidRPr="009026C9">
        <w:rPr>
          <w:sz w:val="24"/>
          <w:szCs w:val="24"/>
        </w:rPr>
        <w:t xml:space="preserve"> </w:t>
      </w:r>
      <w:r w:rsidR="009026C9">
        <w:rPr>
          <w:sz w:val="24"/>
          <w:szCs w:val="24"/>
        </w:rPr>
        <w:t>Unpublished,</w:t>
      </w:r>
      <w:r>
        <w:rPr>
          <w:i/>
          <w:iCs/>
          <w:sz w:val="24"/>
          <w:szCs w:val="24"/>
        </w:rPr>
        <w:t xml:space="preserve"> </w:t>
      </w:r>
      <w:r w:rsidRPr="00455C04">
        <w:rPr>
          <w:sz w:val="24"/>
          <w:szCs w:val="24"/>
        </w:rPr>
        <w:t>2024 WL 708699</w:t>
      </w:r>
      <w:r>
        <w:rPr>
          <w:sz w:val="24"/>
          <w:szCs w:val="24"/>
        </w:rPr>
        <w:t xml:space="preserve"> </w:t>
      </w:r>
      <w:r w:rsidR="00456F9D">
        <w:rPr>
          <w:sz w:val="24"/>
          <w:szCs w:val="24"/>
        </w:rPr>
        <w:t>(</w:t>
      </w:r>
      <w:r>
        <w:rPr>
          <w:sz w:val="24"/>
          <w:szCs w:val="24"/>
        </w:rPr>
        <w:t>Court of Appeals Div</w:t>
      </w:r>
      <w:r w:rsidR="00B50F28">
        <w:rPr>
          <w:sz w:val="24"/>
          <w:szCs w:val="24"/>
        </w:rPr>
        <w:t>.</w:t>
      </w:r>
      <w:r>
        <w:rPr>
          <w:sz w:val="24"/>
          <w:szCs w:val="24"/>
        </w:rPr>
        <w:t xml:space="preserve"> 2, Feb. 21, 2024) (Unpublished) (case reversed on other grounds, COA notes change in law does not apply where crime date precedes effective date of statute)</w:t>
      </w:r>
    </w:p>
    <w:p w14:paraId="16212F6D" w14:textId="77777777" w:rsidR="00782B8E" w:rsidRDefault="00782B8E" w:rsidP="005423DB">
      <w:pPr>
        <w:pStyle w:val="ListParagraph"/>
        <w:ind w:left="0"/>
        <w:rPr>
          <w:b/>
          <w:bCs/>
          <w:sz w:val="24"/>
          <w:szCs w:val="24"/>
        </w:rPr>
      </w:pPr>
    </w:p>
    <w:p w14:paraId="76AE9DA2" w14:textId="35158878" w:rsidR="00CF7A6F" w:rsidRPr="00F00DD7" w:rsidRDefault="00F00DD7" w:rsidP="005423DB">
      <w:pPr>
        <w:pStyle w:val="ListParagraph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Additional </w:t>
      </w:r>
      <w:r w:rsidR="00CF7A6F" w:rsidRPr="00F00DD7">
        <w:rPr>
          <w:b/>
          <w:bCs/>
          <w:sz w:val="24"/>
          <w:szCs w:val="24"/>
        </w:rPr>
        <w:t>Resources</w:t>
      </w:r>
    </w:p>
    <w:p w14:paraId="22CC80E2" w14:textId="7757FF6A" w:rsidR="00CF7A6F" w:rsidRDefault="00CF7A6F" w:rsidP="00E03327">
      <w:pPr>
        <w:pStyle w:val="ListParagraph"/>
        <w:numPr>
          <w:ilvl w:val="0"/>
          <w:numId w:val="39"/>
        </w:numPr>
        <w:ind w:left="720" w:hanging="300"/>
        <w:rPr>
          <w:sz w:val="24"/>
          <w:szCs w:val="24"/>
        </w:rPr>
      </w:pPr>
      <w:r>
        <w:rPr>
          <w:sz w:val="24"/>
          <w:szCs w:val="24"/>
        </w:rPr>
        <w:t xml:space="preserve">See arguments </w:t>
      </w:r>
      <w:r w:rsidR="003E5176">
        <w:rPr>
          <w:sz w:val="24"/>
          <w:szCs w:val="24"/>
        </w:rPr>
        <w:t xml:space="preserve">regarding retroactivity </w:t>
      </w:r>
      <w:r w:rsidR="001D6572">
        <w:rPr>
          <w:sz w:val="24"/>
          <w:szCs w:val="24"/>
        </w:rPr>
        <w:t xml:space="preserve">in </w:t>
      </w:r>
      <w:r w:rsidR="001D6572" w:rsidRPr="00B25F99">
        <w:rPr>
          <w:i/>
          <w:iCs/>
          <w:sz w:val="24"/>
          <w:szCs w:val="24"/>
        </w:rPr>
        <w:t>State v. Jenks</w:t>
      </w:r>
      <w:r w:rsidR="001D6572">
        <w:rPr>
          <w:sz w:val="24"/>
          <w:szCs w:val="24"/>
        </w:rPr>
        <w:t xml:space="preserve"> </w:t>
      </w:r>
      <w:r>
        <w:rPr>
          <w:sz w:val="24"/>
          <w:szCs w:val="24"/>
        </w:rPr>
        <w:t>in th</w:t>
      </w:r>
      <w:r w:rsidR="003E5176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CF7A6F">
        <w:rPr>
          <w:sz w:val="24"/>
          <w:szCs w:val="24"/>
        </w:rPr>
        <w:t>Amicus</w:t>
      </w:r>
      <w:r>
        <w:rPr>
          <w:sz w:val="24"/>
          <w:szCs w:val="24"/>
        </w:rPr>
        <w:t xml:space="preserve"> brief</w:t>
      </w:r>
      <w:r w:rsidR="003E5176">
        <w:rPr>
          <w:sz w:val="24"/>
          <w:szCs w:val="24"/>
        </w:rPr>
        <w:t xml:space="preserve"> by the</w:t>
      </w:r>
      <w:r w:rsidRPr="00CF7A6F">
        <w:rPr>
          <w:sz w:val="24"/>
          <w:szCs w:val="24"/>
        </w:rPr>
        <w:t xml:space="preserve"> </w:t>
      </w:r>
      <w:r>
        <w:rPr>
          <w:sz w:val="24"/>
          <w:szCs w:val="24"/>
        </w:rPr>
        <w:t>Korematsu</w:t>
      </w:r>
      <w:r w:rsidR="003E5176">
        <w:rPr>
          <w:sz w:val="24"/>
          <w:szCs w:val="24"/>
        </w:rPr>
        <w:t xml:space="preserve"> Center</w:t>
      </w:r>
      <w:r>
        <w:rPr>
          <w:sz w:val="24"/>
          <w:szCs w:val="24"/>
        </w:rPr>
        <w:t>, WDA, ACLU</w:t>
      </w:r>
      <w:r w:rsidR="00847ED5">
        <w:rPr>
          <w:sz w:val="24"/>
          <w:szCs w:val="24"/>
        </w:rPr>
        <w:t>-WA</w:t>
      </w:r>
      <w:r>
        <w:rPr>
          <w:sz w:val="24"/>
          <w:szCs w:val="24"/>
        </w:rPr>
        <w:t>, and others,</w:t>
      </w:r>
      <w:r w:rsidR="001D6572">
        <w:rPr>
          <w:sz w:val="24"/>
          <w:szCs w:val="24"/>
        </w:rPr>
        <w:t xml:space="preserve"> </w:t>
      </w:r>
      <w:r w:rsidRPr="00CF7A6F">
        <w:rPr>
          <w:sz w:val="24"/>
          <w:szCs w:val="24"/>
        </w:rPr>
        <w:t>f</w:t>
      </w:r>
      <w:r>
        <w:rPr>
          <w:sz w:val="24"/>
          <w:szCs w:val="24"/>
        </w:rPr>
        <w:t>ound</w:t>
      </w:r>
      <w:r w:rsidR="00E1257B">
        <w:rPr>
          <w:sz w:val="24"/>
          <w:szCs w:val="24"/>
        </w:rPr>
        <w:t xml:space="preserve"> on the WDA website</w:t>
      </w:r>
      <w:r>
        <w:rPr>
          <w:sz w:val="24"/>
          <w:szCs w:val="24"/>
        </w:rPr>
        <w:t xml:space="preserve"> </w:t>
      </w:r>
      <w:hyperlink r:id="rId22" w:history="1">
        <w:r w:rsidRPr="00E1257B"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14:paraId="2B1662A8" w14:textId="127DCE1E" w:rsidR="00D238AC" w:rsidRDefault="00D238AC" w:rsidP="00E03327">
      <w:pPr>
        <w:pStyle w:val="ListParagraph"/>
        <w:numPr>
          <w:ilvl w:val="0"/>
          <w:numId w:val="39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See the WDA Practice Advisory – </w:t>
      </w:r>
      <w:r w:rsidRPr="008A5DA7">
        <w:rPr>
          <w:i/>
          <w:iCs/>
          <w:sz w:val="24"/>
          <w:szCs w:val="24"/>
        </w:rPr>
        <w:t>Miller</w:t>
      </w:r>
      <w:r>
        <w:rPr>
          <w:sz w:val="24"/>
          <w:szCs w:val="24"/>
        </w:rPr>
        <w:t xml:space="preserve"> Timeline, found </w:t>
      </w:r>
      <w:hyperlink r:id="rId23" w:history="1">
        <w:r w:rsidRPr="00CA4593"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 xml:space="preserve"> for a history of this body of law and legislative changes in recent years protecting and treating </w:t>
      </w:r>
      <w:r w:rsidR="00143C1A">
        <w:rPr>
          <w:sz w:val="24"/>
          <w:szCs w:val="24"/>
        </w:rPr>
        <w:t xml:space="preserve">children and </w:t>
      </w:r>
      <w:r>
        <w:rPr>
          <w:sz w:val="24"/>
          <w:szCs w:val="24"/>
        </w:rPr>
        <w:t xml:space="preserve">young adults </w:t>
      </w:r>
      <w:r w:rsidR="00143C1A">
        <w:rPr>
          <w:sz w:val="24"/>
          <w:szCs w:val="24"/>
        </w:rPr>
        <w:t xml:space="preserve">differently and </w:t>
      </w:r>
      <w:r>
        <w:rPr>
          <w:sz w:val="24"/>
          <w:szCs w:val="24"/>
        </w:rPr>
        <w:t>more leniently</w:t>
      </w:r>
      <w:r w:rsidR="009A30B9">
        <w:rPr>
          <w:sz w:val="24"/>
          <w:szCs w:val="24"/>
        </w:rPr>
        <w:t xml:space="preserve"> based on reduced culpability and capacity for growth and transformation</w:t>
      </w:r>
      <w:r>
        <w:rPr>
          <w:sz w:val="24"/>
          <w:szCs w:val="24"/>
        </w:rPr>
        <w:t>.</w:t>
      </w:r>
    </w:p>
    <w:p w14:paraId="34AC98D4" w14:textId="77777777" w:rsidR="00D238AC" w:rsidRDefault="00D238AC" w:rsidP="00D238AC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 xml:space="preserve">See the 2019 WDA training and CLE Handout on Litigating Mitigation and Exceptional Sentences, found </w:t>
      </w:r>
      <w:hyperlink r:id="rId24" w:history="1">
        <w:r w:rsidRPr="005668D1"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sectPr w:rsidR="00D238AC"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362EE" w14:textId="77777777" w:rsidR="00CC3A81" w:rsidRDefault="00CC3A81" w:rsidP="003F77F8">
      <w:pPr>
        <w:spacing w:after="0" w:line="240" w:lineRule="auto"/>
      </w:pPr>
      <w:r>
        <w:separator/>
      </w:r>
    </w:p>
  </w:endnote>
  <w:endnote w:type="continuationSeparator" w:id="0">
    <w:p w14:paraId="2F0485EE" w14:textId="77777777" w:rsidR="00CC3A81" w:rsidRDefault="00CC3A81" w:rsidP="003F7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ldface 12p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95256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22BF90" w14:textId="4B88A264" w:rsidR="00810216" w:rsidRDefault="008102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9D72EF" w14:textId="77777777" w:rsidR="00810216" w:rsidRDefault="00810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4279A" w14:textId="77777777" w:rsidR="00CC3A81" w:rsidRDefault="00CC3A81" w:rsidP="003F77F8">
      <w:pPr>
        <w:spacing w:after="0" w:line="240" w:lineRule="auto"/>
      </w:pPr>
      <w:r>
        <w:separator/>
      </w:r>
    </w:p>
  </w:footnote>
  <w:footnote w:type="continuationSeparator" w:id="0">
    <w:p w14:paraId="6802441B" w14:textId="77777777" w:rsidR="00CC3A81" w:rsidRDefault="00CC3A81" w:rsidP="003F77F8">
      <w:pPr>
        <w:spacing w:after="0" w:line="240" w:lineRule="auto"/>
      </w:pPr>
      <w:r>
        <w:continuationSeparator/>
      </w:r>
    </w:p>
  </w:footnote>
  <w:footnote w:id="1">
    <w:p w14:paraId="2B290A30" w14:textId="657CA312" w:rsidR="00EA6B08" w:rsidRPr="00E84FC1" w:rsidRDefault="00EA6B08" w:rsidP="00EA6B08">
      <w:pPr>
        <w:pStyle w:val="ListParagraph"/>
        <w:ind w:left="0"/>
        <w:rPr>
          <w:i/>
          <w:iCs/>
          <w:sz w:val="24"/>
          <w:szCs w:val="24"/>
        </w:rPr>
      </w:pPr>
    </w:p>
    <w:p w14:paraId="0A2BCEA4" w14:textId="6078A555" w:rsidR="00EA6B08" w:rsidRDefault="00EA6B0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B13"/>
    <w:multiLevelType w:val="hybridMultilevel"/>
    <w:tmpl w:val="14E01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0818"/>
    <w:multiLevelType w:val="hybridMultilevel"/>
    <w:tmpl w:val="46DCE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F5BA7"/>
    <w:multiLevelType w:val="hybridMultilevel"/>
    <w:tmpl w:val="5C92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2A7E"/>
    <w:multiLevelType w:val="hybridMultilevel"/>
    <w:tmpl w:val="9E5E0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2829"/>
    <w:multiLevelType w:val="hybridMultilevel"/>
    <w:tmpl w:val="D188CAB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444AA2"/>
    <w:multiLevelType w:val="hybridMultilevel"/>
    <w:tmpl w:val="E8E2E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620EB"/>
    <w:multiLevelType w:val="hybridMultilevel"/>
    <w:tmpl w:val="69541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87BE3"/>
    <w:multiLevelType w:val="hybridMultilevel"/>
    <w:tmpl w:val="0D363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8443E"/>
    <w:multiLevelType w:val="hybridMultilevel"/>
    <w:tmpl w:val="7C60E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2408F"/>
    <w:multiLevelType w:val="hybridMultilevel"/>
    <w:tmpl w:val="0010E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63424"/>
    <w:multiLevelType w:val="hybridMultilevel"/>
    <w:tmpl w:val="0F9AE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E4F29"/>
    <w:multiLevelType w:val="hybridMultilevel"/>
    <w:tmpl w:val="456822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51622"/>
    <w:multiLevelType w:val="hybridMultilevel"/>
    <w:tmpl w:val="B8DC4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35E86"/>
    <w:multiLevelType w:val="hybridMultilevel"/>
    <w:tmpl w:val="1C4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51DB7"/>
    <w:multiLevelType w:val="hybridMultilevel"/>
    <w:tmpl w:val="6ABAB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F4661"/>
    <w:multiLevelType w:val="hybridMultilevel"/>
    <w:tmpl w:val="67D6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179FD"/>
    <w:multiLevelType w:val="hybridMultilevel"/>
    <w:tmpl w:val="834674B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3B4D2E97"/>
    <w:multiLevelType w:val="hybridMultilevel"/>
    <w:tmpl w:val="40E84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76037"/>
    <w:multiLevelType w:val="hybridMultilevel"/>
    <w:tmpl w:val="BD4E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178B7"/>
    <w:multiLevelType w:val="hybridMultilevel"/>
    <w:tmpl w:val="ACE07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35E6D"/>
    <w:multiLevelType w:val="hybridMultilevel"/>
    <w:tmpl w:val="8424E4E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7A5878"/>
    <w:multiLevelType w:val="hybridMultilevel"/>
    <w:tmpl w:val="DB5AC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B505B"/>
    <w:multiLevelType w:val="hybridMultilevel"/>
    <w:tmpl w:val="6A188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9332F"/>
    <w:multiLevelType w:val="hybridMultilevel"/>
    <w:tmpl w:val="AC40C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76C74"/>
    <w:multiLevelType w:val="hybridMultilevel"/>
    <w:tmpl w:val="3FC0F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00BE3"/>
    <w:multiLevelType w:val="hybridMultilevel"/>
    <w:tmpl w:val="59C8B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873CDA"/>
    <w:multiLevelType w:val="hybridMultilevel"/>
    <w:tmpl w:val="5E508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05DBD"/>
    <w:multiLevelType w:val="hybridMultilevel"/>
    <w:tmpl w:val="E7006980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8" w15:restartNumberingAfterBreak="0">
    <w:nsid w:val="561F2753"/>
    <w:multiLevelType w:val="hybridMultilevel"/>
    <w:tmpl w:val="AEAEE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7393A"/>
    <w:multiLevelType w:val="hybridMultilevel"/>
    <w:tmpl w:val="A656C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E4334"/>
    <w:multiLevelType w:val="hybridMultilevel"/>
    <w:tmpl w:val="C50CD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B69FC"/>
    <w:multiLevelType w:val="hybridMultilevel"/>
    <w:tmpl w:val="3A1823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086C75"/>
    <w:multiLevelType w:val="hybridMultilevel"/>
    <w:tmpl w:val="20FA6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BD7E85"/>
    <w:multiLevelType w:val="hybridMultilevel"/>
    <w:tmpl w:val="150E3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90768F"/>
    <w:multiLevelType w:val="hybridMultilevel"/>
    <w:tmpl w:val="47E0DD18"/>
    <w:lvl w:ilvl="0" w:tplc="0409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5" w15:restartNumberingAfterBreak="0">
    <w:nsid w:val="67E62B32"/>
    <w:multiLevelType w:val="hybridMultilevel"/>
    <w:tmpl w:val="11CAC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02123"/>
    <w:multiLevelType w:val="hybridMultilevel"/>
    <w:tmpl w:val="D3E8F5C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6EAC051A"/>
    <w:multiLevelType w:val="hybridMultilevel"/>
    <w:tmpl w:val="87542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D73B0B"/>
    <w:multiLevelType w:val="hybridMultilevel"/>
    <w:tmpl w:val="97F2B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25699"/>
    <w:multiLevelType w:val="hybridMultilevel"/>
    <w:tmpl w:val="818A2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D303E"/>
    <w:multiLevelType w:val="hybridMultilevel"/>
    <w:tmpl w:val="F0A20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473554">
    <w:abstractNumId w:val="31"/>
  </w:num>
  <w:num w:numId="2" w16cid:durableId="1856000686">
    <w:abstractNumId w:val="4"/>
  </w:num>
  <w:num w:numId="3" w16cid:durableId="1723095878">
    <w:abstractNumId w:val="12"/>
  </w:num>
  <w:num w:numId="4" w16cid:durableId="312106250">
    <w:abstractNumId w:val="25"/>
  </w:num>
  <w:num w:numId="5" w16cid:durableId="1095322610">
    <w:abstractNumId w:val="3"/>
  </w:num>
  <w:num w:numId="6" w16cid:durableId="1199394562">
    <w:abstractNumId w:val="5"/>
  </w:num>
  <w:num w:numId="7" w16cid:durableId="1401369823">
    <w:abstractNumId w:val="2"/>
  </w:num>
  <w:num w:numId="8" w16cid:durableId="255138388">
    <w:abstractNumId w:val="28"/>
  </w:num>
  <w:num w:numId="9" w16cid:durableId="1100295140">
    <w:abstractNumId w:val="21"/>
  </w:num>
  <w:num w:numId="10" w16cid:durableId="357853127">
    <w:abstractNumId w:val="19"/>
  </w:num>
  <w:num w:numId="11" w16cid:durableId="308748735">
    <w:abstractNumId w:val="8"/>
  </w:num>
  <w:num w:numId="12" w16cid:durableId="1362587164">
    <w:abstractNumId w:val="10"/>
  </w:num>
  <w:num w:numId="13" w16cid:durableId="165442482">
    <w:abstractNumId w:val="0"/>
  </w:num>
  <w:num w:numId="14" w16cid:durableId="1416635550">
    <w:abstractNumId w:val="6"/>
  </w:num>
  <w:num w:numId="15" w16cid:durableId="2007248089">
    <w:abstractNumId w:val="16"/>
  </w:num>
  <w:num w:numId="16" w16cid:durableId="828323468">
    <w:abstractNumId w:val="23"/>
  </w:num>
  <w:num w:numId="17" w16cid:durableId="1741831780">
    <w:abstractNumId w:val="36"/>
  </w:num>
  <w:num w:numId="18" w16cid:durableId="1123117158">
    <w:abstractNumId w:val="13"/>
  </w:num>
  <w:num w:numId="19" w16cid:durableId="1879930932">
    <w:abstractNumId w:val="27"/>
  </w:num>
  <w:num w:numId="20" w16cid:durableId="944576232">
    <w:abstractNumId w:val="37"/>
  </w:num>
  <w:num w:numId="21" w16cid:durableId="112484704">
    <w:abstractNumId w:val="24"/>
  </w:num>
  <w:num w:numId="22" w16cid:durableId="1844276808">
    <w:abstractNumId w:val="11"/>
  </w:num>
  <w:num w:numId="23" w16cid:durableId="320693339">
    <w:abstractNumId w:val="34"/>
  </w:num>
  <w:num w:numId="24" w16cid:durableId="1094472627">
    <w:abstractNumId w:val="39"/>
  </w:num>
  <w:num w:numId="25" w16cid:durableId="1310742799">
    <w:abstractNumId w:val="9"/>
  </w:num>
  <w:num w:numId="26" w16cid:durableId="1617591654">
    <w:abstractNumId w:val="30"/>
  </w:num>
  <w:num w:numId="27" w16cid:durableId="41909931">
    <w:abstractNumId w:val="1"/>
  </w:num>
  <w:num w:numId="28" w16cid:durableId="713046887">
    <w:abstractNumId w:val="18"/>
  </w:num>
  <w:num w:numId="29" w16cid:durableId="627081212">
    <w:abstractNumId w:val="22"/>
  </w:num>
  <w:num w:numId="30" w16cid:durableId="1013335306">
    <w:abstractNumId w:val="7"/>
  </w:num>
  <w:num w:numId="31" w16cid:durableId="1305040963">
    <w:abstractNumId w:val="40"/>
  </w:num>
  <w:num w:numId="32" w16cid:durableId="1217350806">
    <w:abstractNumId w:val="32"/>
  </w:num>
  <w:num w:numId="33" w16cid:durableId="1650016907">
    <w:abstractNumId w:val="17"/>
  </w:num>
  <w:num w:numId="34" w16cid:durableId="376662633">
    <w:abstractNumId w:val="15"/>
  </w:num>
  <w:num w:numId="35" w16cid:durableId="443353875">
    <w:abstractNumId w:val="38"/>
  </w:num>
  <w:num w:numId="36" w16cid:durableId="1118329040">
    <w:abstractNumId w:val="35"/>
  </w:num>
  <w:num w:numId="37" w16cid:durableId="844825968">
    <w:abstractNumId w:val="26"/>
  </w:num>
  <w:num w:numId="38" w16cid:durableId="236474327">
    <w:abstractNumId w:val="14"/>
  </w:num>
  <w:num w:numId="39" w16cid:durableId="1201092926">
    <w:abstractNumId w:val="20"/>
  </w:num>
  <w:num w:numId="40" w16cid:durableId="848981915">
    <w:abstractNumId w:val="33"/>
  </w:num>
  <w:num w:numId="41" w16cid:durableId="85087382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377"/>
    <w:rsid w:val="0000667D"/>
    <w:rsid w:val="00006AE4"/>
    <w:rsid w:val="0001654F"/>
    <w:rsid w:val="00017C9A"/>
    <w:rsid w:val="00020CDB"/>
    <w:rsid w:val="00021024"/>
    <w:rsid w:val="000367DE"/>
    <w:rsid w:val="000435DF"/>
    <w:rsid w:val="0004662B"/>
    <w:rsid w:val="0005471B"/>
    <w:rsid w:val="000557C0"/>
    <w:rsid w:val="00063EF1"/>
    <w:rsid w:val="00074662"/>
    <w:rsid w:val="00075B96"/>
    <w:rsid w:val="000A64A2"/>
    <w:rsid w:val="000A7E3A"/>
    <w:rsid w:val="000B3575"/>
    <w:rsid w:val="000D303D"/>
    <w:rsid w:val="000D33B0"/>
    <w:rsid w:val="000F3655"/>
    <w:rsid w:val="000F4ECC"/>
    <w:rsid w:val="0011647E"/>
    <w:rsid w:val="00131478"/>
    <w:rsid w:val="00143C1A"/>
    <w:rsid w:val="00145FF0"/>
    <w:rsid w:val="00147E75"/>
    <w:rsid w:val="00155ACC"/>
    <w:rsid w:val="0016091B"/>
    <w:rsid w:val="00167709"/>
    <w:rsid w:val="00173AD7"/>
    <w:rsid w:val="001754E4"/>
    <w:rsid w:val="00180FB9"/>
    <w:rsid w:val="00192A5D"/>
    <w:rsid w:val="001B32F5"/>
    <w:rsid w:val="001D6572"/>
    <w:rsid w:val="001F234E"/>
    <w:rsid w:val="001F4C76"/>
    <w:rsid w:val="001F65A0"/>
    <w:rsid w:val="002060D4"/>
    <w:rsid w:val="00216767"/>
    <w:rsid w:val="00226DC8"/>
    <w:rsid w:val="002370FD"/>
    <w:rsid w:val="00260FEE"/>
    <w:rsid w:val="00281D80"/>
    <w:rsid w:val="002A483E"/>
    <w:rsid w:val="002C112E"/>
    <w:rsid w:val="002D0CD0"/>
    <w:rsid w:val="002F5BE1"/>
    <w:rsid w:val="00304DBD"/>
    <w:rsid w:val="00306E5B"/>
    <w:rsid w:val="003202DF"/>
    <w:rsid w:val="00321DBF"/>
    <w:rsid w:val="003249B9"/>
    <w:rsid w:val="0035090F"/>
    <w:rsid w:val="0035438A"/>
    <w:rsid w:val="00355569"/>
    <w:rsid w:val="00360D28"/>
    <w:rsid w:val="003931A9"/>
    <w:rsid w:val="003A1BE9"/>
    <w:rsid w:val="003A704A"/>
    <w:rsid w:val="003B75CB"/>
    <w:rsid w:val="003D2D12"/>
    <w:rsid w:val="003E5176"/>
    <w:rsid w:val="003F20CE"/>
    <w:rsid w:val="003F226E"/>
    <w:rsid w:val="003F77F8"/>
    <w:rsid w:val="00401B33"/>
    <w:rsid w:val="00405A05"/>
    <w:rsid w:val="004066E9"/>
    <w:rsid w:val="0041753E"/>
    <w:rsid w:val="00423BDB"/>
    <w:rsid w:val="00433FBF"/>
    <w:rsid w:val="00455C04"/>
    <w:rsid w:val="00456F9D"/>
    <w:rsid w:val="00457126"/>
    <w:rsid w:val="00460EBD"/>
    <w:rsid w:val="004958E2"/>
    <w:rsid w:val="004962D2"/>
    <w:rsid w:val="00496BB0"/>
    <w:rsid w:val="004A73D6"/>
    <w:rsid w:val="004A79C7"/>
    <w:rsid w:val="004C159C"/>
    <w:rsid w:val="004C2E6E"/>
    <w:rsid w:val="004D7388"/>
    <w:rsid w:val="004E08D6"/>
    <w:rsid w:val="004F0254"/>
    <w:rsid w:val="004F107F"/>
    <w:rsid w:val="00502F81"/>
    <w:rsid w:val="0050510C"/>
    <w:rsid w:val="00516377"/>
    <w:rsid w:val="00520174"/>
    <w:rsid w:val="00523971"/>
    <w:rsid w:val="005423DB"/>
    <w:rsid w:val="0055280E"/>
    <w:rsid w:val="00553477"/>
    <w:rsid w:val="0056034D"/>
    <w:rsid w:val="005668D1"/>
    <w:rsid w:val="005901CB"/>
    <w:rsid w:val="005B48E6"/>
    <w:rsid w:val="005D111E"/>
    <w:rsid w:val="005D1B4E"/>
    <w:rsid w:val="005D651B"/>
    <w:rsid w:val="005E20F2"/>
    <w:rsid w:val="005E6E6F"/>
    <w:rsid w:val="005F5F4F"/>
    <w:rsid w:val="00614B64"/>
    <w:rsid w:val="00633702"/>
    <w:rsid w:val="0063490C"/>
    <w:rsid w:val="00635727"/>
    <w:rsid w:val="00650E50"/>
    <w:rsid w:val="00695F3A"/>
    <w:rsid w:val="006A3B16"/>
    <w:rsid w:val="006A7E04"/>
    <w:rsid w:val="006B16DD"/>
    <w:rsid w:val="006B6007"/>
    <w:rsid w:val="006B7566"/>
    <w:rsid w:val="006E2407"/>
    <w:rsid w:val="006F5FCB"/>
    <w:rsid w:val="00711325"/>
    <w:rsid w:val="007400F4"/>
    <w:rsid w:val="00742E34"/>
    <w:rsid w:val="00767E80"/>
    <w:rsid w:val="00782B8E"/>
    <w:rsid w:val="0078347D"/>
    <w:rsid w:val="007A1A94"/>
    <w:rsid w:val="007A5835"/>
    <w:rsid w:val="007A68DB"/>
    <w:rsid w:val="007D6A74"/>
    <w:rsid w:val="007D7056"/>
    <w:rsid w:val="00810216"/>
    <w:rsid w:val="008304FC"/>
    <w:rsid w:val="00836ABD"/>
    <w:rsid w:val="00847ED5"/>
    <w:rsid w:val="00857B6A"/>
    <w:rsid w:val="00876E20"/>
    <w:rsid w:val="00882E2F"/>
    <w:rsid w:val="00892E52"/>
    <w:rsid w:val="00895D24"/>
    <w:rsid w:val="008A07F9"/>
    <w:rsid w:val="008A384C"/>
    <w:rsid w:val="008A5DA7"/>
    <w:rsid w:val="008B3E8B"/>
    <w:rsid w:val="008D47D6"/>
    <w:rsid w:val="008D656A"/>
    <w:rsid w:val="008E695D"/>
    <w:rsid w:val="008F5FB0"/>
    <w:rsid w:val="009018C9"/>
    <w:rsid w:val="00901E6F"/>
    <w:rsid w:val="009026C9"/>
    <w:rsid w:val="00902935"/>
    <w:rsid w:val="0091268D"/>
    <w:rsid w:val="0091587E"/>
    <w:rsid w:val="00916930"/>
    <w:rsid w:val="0091772B"/>
    <w:rsid w:val="009357C7"/>
    <w:rsid w:val="00942668"/>
    <w:rsid w:val="00964145"/>
    <w:rsid w:val="0096517C"/>
    <w:rsid w:val="00965396"/>
    <w:rsid w:val="009657E5"/>
    <w:rsid w:val="009A30B9"/>
    <w:rsid w:val="009A544E"/>
    <w:rsid w:val="009B31CD"/>
    <w:rsid w:val="009B3F97"/>
    <w:rsid w:val="009B6A7B"/>
    <w:rsid w:val="009C5A25"/>
    <w:rsid w:val="009E5603"/>
    <w:rsid w:val="009F1071"/>
    <w:rsid w:val="009F289F"/>
    <w:rsid w:val="009F5F4C"/>
    <w:rsid w:val="00A041A0"/>
    <w:rsid w:val="00A22600"/>
    <w:rsid w:val="00A23C22"/>
    <w:rsid w:val="00A4091D"/>
    <w:rsid w:val="00A463D0"/>
    <w:rsid w:val="00A5183E"/>
    <w:rsid w:val="00A84991"/>
    <w:rsid w:val="00AA0296"/>
    <w:rsid w:val="00AB2B60"/>
    <w:rsid w:val="00AD1051"/>
    <w:rsid w:val="00AD5F97"/>
    <w:rsid w:val="00B000A8"/>
    <w:rsid w:val="00B034E7"/>
    <w:rsid w:val="00B05CD1"/>
    <w:rsid w:val="00B13160"/>
    <w:rsid w:val="00B13725"/>
    <w:rsid w:val="00B16364"/>
    <w:rsid w:val="00B21BBE"/>
    <w:rsid w:val="00B25F99"/>
    <w:rsid w:val="00B26AAB"/>
    <w:rsid w:val="00B3012D"/>
    <w:rsid w:val="00B349A8"/>
    <w:rsid w:val="00B36D01"/>
    <w:rsid w:val="00B47741"/>
    <w:rsid w:val="00B47B6A"/>
    <w:rsid w:val="00B50F28"/>
    <w:rsid w:val="00B5338F"/>
    <w:rsid w:val="00B5454E"/>
    <w:rsid w:val="00B54B6F"/>
    <w:rsid w:val="00B66BE1"/>
    <w:rsid w:val="00B80C1D"/>
    <w:rsid w:val="00B81C61"/>
    <w:rsid w:val="00B86560"/>
    <w:rsid w:val="00B92214"/>
    <w:rsid w:val="00B97E46"/>
    <w:rsid w:val="00BB3523"/>
    <w:rsid w:val="00BC6B24"/>
    <w:rsid w:val="00BC6DAF"/>
    <w:rsid w:val="00BD01FF"/>
    <w:rsid w:val="00BE0C5B"/>
    <w:rsid w:val="00BE67CB"/>
    <w:rsid w:val="00BF086E"/>
    <w:rsid w:val="00BF1C37"/>
    <w:rsid w:val="00C0591F"/>
    <w:rsid w:val="00C342F3"/>
    <w:rsid w:val="00C51726"/>
    <w:rsid w:val="00C51ADD"/>
    <w:rsid w:val="00C61EEF"/>
    <w:rsid w:val="00C73906"/>
    <w:rsid w:val="00C81B5E"/>
    <w:rsid w:val="00C83956"/>
    <w:rsid w:val="00C90B7C"/>
    <w:rsid w:val="00C915C1"/>
    <w:rsid w:val="00CA4593"/>
    <w:rsid w:val="00CB7580"/>
    <w:rsid w:val="00CC34D8"/>
    <w:rsid w:val="00CC3A81"/>
    <w:rsid w:val="00CC5441"/>
    <w:rsid w:val="00CD200C"/>
    <w:rsid w:val="00CD43A8"/>
    <w:rsid w:val="00CF7A6F"/>
    <w:rsid w:val="00D238AC"/>
    <w:rsid w:val="00D25DAB"/>
    <w:rsid w:val="00D478C9"/>
    <w:rsid w:val="00D6485D"/>
    <w:rsid w:val="00D77395"/>
    <w:rsid w:val="00D860B0"/>
    <w:rsid w:val="00DC1BAB"/>
    <w:rsid w:val="00DD112C"/>
    <w:rsid w:val="00DF74C4"/>
    <w:rsid w:val="00E03327"/>
    <w:rsid w:val="00E123A2"/>
    <w:rsid w:val="00E1257B"/>
    <w:rsid w:val="00E2200E"/>
    <w:rsid w:val="00E23845"/>
    <w:rsid w:val="00E3275D"/>
    <w:rsid w:val="00E45E80"/>
    <w:rsid w:val="00E50820"/>
    <w:rsid w:val="00E6375D"/>
    <w:rsid w:val="00E650D9"/>
    <w:rsid w:val="00E65A17"/>
    <w:rsid w:val="00E75B66"/>
    <w:rsid w:val="00E84FC1"/>
    <w:rsid w:val="00E85422"/>
    <w:rsid w:val="00E8551C"/>
    <w:rsid w:val="00EA6B08"/>
    <w:rsid w:val="00ED4C76"/>
    <w:rsid w:val="00F00123"/>
    <w:rsid w:val="00F00DD7"/>
    <w:rsid w:val="00F02A17"/>
    <w:rsid w:val="00F045E6"/>
    <w:rsid w:val="00F21A68"/>
    <w:rsid w:val="00F236A2"/>
    <w:rsid w:val="00F27D68"/>
    <w:rsid w:val="00F323BE"/>
    <w:rsid w:val="00F33F52"/>
    <w:rsid w:val="00F37A61"/>
    <w:rsid w:val="00F52D48"/>
    <w:rsid w:val="00F82203"/>
    <w:rsid w:val="00F92D92"/>
    <w:rsid w:val="00FA1CDD"/>
    <w:rsid w:val="00FB4160"/>
    <w:rsid w:val="00FB5F60"/>
    <w:rsid w:val="00FE101C"/>
    <w:rsid w:val="00FE2960"/>
    <w:rsid w:val="00FE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3E5A8"/>
  <w15:docId w15:val="{4A3DDC00-4B02-40C6-A4CF-764A018C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31A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F77F8"/>
    <w:pPr>
      <w:spacing w:after="200" w:line="276" w:lineRule="auto"/>
      <w:ind w:left="720"/>
      <w:contextualSpacing/>
    </w:pPr>
  </w:style>
  <w:style w:type="paragraph" w:customStyle="1" w:styleId="xmsonormal">
    <w:name w:val="x_msonormal"/>
    <w:basedOn w:val="Normal"/>
    <w:rsid w:val="003F7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rsid w:val="003F77F8"/>
    <w:rPr>
      <w:rFonts w:ascii="Boldface 12pt" w:hAnsi="Boldface 12pt" w:cs="Boldface 12pt"/>
      <w:sz w:val="24"/>
      <w:szCs w:val="24"/>
      <w:vertAlign w:val="superscript"/>
      <w:lang w:val="en-U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E3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051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10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216"/>
  </w:style>
  <w:style w:type="paragraph" w:styleId="Footer">
    <w:name w:val="footer"/>
    <w:basedOn w:val="Normal"/>
    <w:link w:val="FooterChar"/>
    <w:uiPriority w:val="99"/>
    <w:unhideWhenUsed/>
    <w:rsid w:val="00810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216"/>
  </w:style>
  <w:style w:type="character" w:styleId="FollowedHyperlink">
    <w:name w:val="FollowedHyperlink"/>
    <w:basedOn w:val="DefaultParagraphFont"/>
    <w:uiPriority w:val="99"/>
    <w:semiHidden/>
    <w:unhideWhenUsed/>
    <w:rsid w:val="00695F3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11325"/>
    <w:pPr>
      <w:spacing w:after="0" w:line="240" w:lineRule="auto"/>
    </w:pPr>
  </w:style>
  <w:style w:type="table" w:styleId="TableGrid">
    <w:name w:val="Table Grid"/>
    <w:basedOn w:val="TableNormal"/>
    <w:uiPriority w:val="39"/>
    <w:rsid w:val="00502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1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10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10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051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6B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6B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.leg.wa.gov/BillSummary/?BillNumber=1274&amp;Year=2025&amp;Initiative=false" TargetMode="External"/><Relationship Id="rId18" Type="http://schemas.openxmlformats.org/officeDocument/2006/relationships/hyperlink" Target="https://defensenet.org/resources/juvenile-points-scoring-defense-reply-to-state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ourts.wa.gov/content/Briefs/A02/589621-Respondent's%20Brief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app.leg.wa.gov/billsummary?BillNumber=1324&amp;Year=2023&amp;Initiative=false" TargetMode="External"/><Relationship Id="rId17" Type="http://schemas.openxmlformats.org/officeDocument/2006/relationships/hyperlink" Target="https://defensenet.org/resources/scoring-of-juvenile-points-states-brief-generic-8-2023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efensenet.org/resources/juvenile-scoring-changes-retroactive-8-2023/" TargetMode="External"/><Relationship Id="rId20" Type="http://schemas.openxmlformats.org/officeDocument/2006/relationships/hyperlink" Target="https://defensenet.org/resources/exceptional-down-checklist-with-cite-8-2017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defensenet.org/resources/investigating-and-litigating-mitigation-and-exceptional-sentences-down-02-27-19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efensenet.org/resources/state-v-asaria-miller-3-2022/" TargetMode="External"/><Relationship Id="rId23" Type="http://schemas.openxmlformats.org/officeDocument/2006/relationships/hyperlink" Target="https://defensenet.org/resources/miller-timeline-10-29-19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view.officeapps.live.com/op/view.aspx?src=https%3A%2F%2Fdefensenet.org%2Fwp-content%2Fuploads%2F2023%2F12%2FMB_12-11-23-Mtn2VacateJuvePriors.docx&amp;wdOrigin=BROWSELIN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efensenet.org/resources/juvenile-scoring-changes-retroactive-8-2023/" TargetMode="External"/><Relationship Id="rId22" Type="http://schemas.openxmlformats.org/officeDocument/2006/relationships/hyperlink" Target="https://defensenet.org/resources/state-v-jenks-wsc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90A8D3750D844970647D44AF02D8B" ma:contentTypeVersion="18" ma:contentTypeDescription="Create a new document." ma:contentTypeScope="" ma:versionID="cb63c5e063bbd60e22f12ea79dce5752">
  <xsd:schema xmlns:xsd="http://www.w3.org/2001/XMLSchema" xmlns:xs="http://www.w3.org/2001/XMLSchema" xmlns:p="http://schemas.microsoft.com/office/2006/metadata/properties" xmlns:ns2="fd021970-eb95-4e8d-bcd2-17564231e682" xmlns:ns3="8fbca1ef-f44d-4b3f-b2b7-6360d110f8f9" targetNamespace="http://schemas.microsoft.com/office/2006/metadata/properties" ma:root="true" ma:fieldsID="0eb92376f91bc073793f1a2894e44f10" ns2:_="" ns3:_="">
    <xsd:import namespace="fd021970-eb95-4e8d-bcd2-17564231e682"/>
    <xsd:import namespace="8fbca1ef-f44d-4b3f-b2b7-6360d110f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21970-eb95-4e8d-bcd2-17564231e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10a7b4-11ac-476c-9d21-c523c04977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ca1ef-f44d-4b3f-b2b7-6360d110f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c09d545-5036-4e37-b11d-ff1b24bbca05}" ma:internalName="TaxCatchAll" ma:showField="CatchAllData" ma:web="8fbca1ef-f44d-4b3f-b2b7-6360d110f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021970-eb95-4e8d-bcd2-17564231e682">
      <Terms xmlns="http://schemas.microsoft.com/office/infopath/2007/PartnerControls"/>
    </lcf76f155ced4ddcb4097134ff3c332f>
    <TaxCatchAll xmlns="8fbca1ef-f44d-4b3f-b2b7-6360d110f8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06CBB-F583-459E-9873-2DB81996A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21970-eb95-4e8d-bcd2-17564231e682"/>
    <ds:schemaRef ds:uri="8fbca1ef-f44d-4b3f-b2b7-6360d110f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81A6CC-F8DE-4F54-A272-30D63FE81C3F}">
  <ds:schemaRefs>
    <ds:schemaRef ds:uri="http://schemas.microsoft.com/office/2006/metadata/properties"/>
    <ds:schemaRef ds:uri="http://schemas.microsoft.com/office/infopath/2007/PartnerControls"/>
    <ds:schemaRef ds:uri="fd021970-eb95-4e8d-bcd2-17564231e682"/>
    <ds:schemaRef ds:uri="8fbca1ef-f44d-4b3f-b2b7-6360d110f8f9"/>
  </ds:schemaRefs>
</ds:datastoreItem>
</file>

<file path=customXml/itemProps3.xml><?xml version="1.0" encoding="utf-8"?>
<ds:datastoreItem xmlns:ds="http://schemas.openxmlformats.org/officeDocument/2006/customXml" ds:itemID="{9B5203D1-ECDD-4560-9370-27479D5007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2379DA-7220-4018-85DF-4580B3A5C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Cindy Arends Elsberry</cp:lastModifiedBy>
  <cp:revision>4</cp:revision>
  <dcterms:created xsi:type="dcterms:W3CDTF">2025-03-07T16:38:00Z</dcterms:created>
  <dcterms:modified xsi:type="dcterms:W3CDTF">2025-03-07T17:12:00Z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0x0101006C790A8D3750D844970647D44AF02D8B</vt:lpwstr>
  </property>
</Properties>
</file>