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17788" w14:textId="77777777" w:rsidR="00F121E8" w:rsidRPr="0079388A" w:rsidRDefault="00F121E8">
      <w:pPr>
        <w:rPr>
          <w:rFonts w:asciiTheme="minorHAnsi" w:hAnsiTheme="minorHAnsi" w:cstheme="minorHAnsi"/>
          <w:b/>
          <w:bCs/>
        </w:rPr>
      </w:pPr>
    </w:p>
    <w:p w14:paraId="05537AD2" w14:textId="77777777" w:rsidR="00F121E8" w:rsidRPr="00695B21" w:rsidRDefault="00F121E8">
      <w:pPr>
        <w:rPr>
          <w:rFonts w:asciiTheme="minorHAnsi" w:hAnsiTheme="minorHAnsi" w:cstheme="minorHAnsi"/>
        </w:rPr>
      </w:pPr>
    </w:p>
    <w:p w14:paraId="6E9B78AB" w14:textId="77777777" w:rsidR="00F121E8" w:rsidRPr="00695B21" w:rsidRDefault="00AA17EC" w:rsidP="00695B21">
      <w:pPr>
        <w:jc w:val="center"/>
        <w:rPr>
          <w:rFonts w:asciiTheme="minorHAnsi" w:hAnsiTheme="minorHAnsi" w:cstheme="minorHAnsi"/>
        </w:rPr>
      </w:pPr>
      <w:r w:rsidRPr="00695B21">
        <w:rPr>
          <w:rFonts w:asciiTheme="minorHAnsi" w:hAnsiTheme="minorHAnsi" w:cstheme="minorHAnsi"/>
          <w:noProof/>
        </w:rPr>
        <w:drawing>
          <wp:inline distT="0" distB="0" distL="0" distR="0" wp14:anchorId="68E5C286" wp14:editId="516484D7">
            <wp:extent cx="3495675" cy="714375"/>
            <wp:effectExtent l="0" t="0" r="0" b="0"/>
            <wp:docPr id="2" name="Picture 1" descr="WDA_logo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A_logo_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5675" cy="714375"/>
                    </a:xfrm>
                    <a:prstGeom prst="rect">
                      <a:avLst/>
                    </a:prstGeom>
                    <a:noFill/>
                    <a:ln>
                      <a:noFill/>
                    </a:ln>
                  </pic:spPr>
                </pic:pic>
              </a:graphicData>
            </a:graphic>
          </wp:inline>
        </w:drawing>
      </w:r>
    </w:p>
    <w:p w14:paraId="5D7122AB" w14:textId="77777777" w:rsidR="00F121E8" w:rsidRPr="001547AE" w:rsidRDefault="00F121E8">
      <w:pPr>
        <w:rPr>
          <w:rFonts w:asciiTheme="minorHAnsi" w:hAnsiTheme="minorHAnsi" w:cstheme="minorHAnsi"/>
          <w:b/>
        </w:rPr>
      </w:pPr>
    </w:p>
    <w:p w14:paraId="4847A015" w14:textId="76629069" w:rsidR="003152B9" w:rsidRPr="001547AE" w:rsidRDefault="001547AE" w:rsidP="001547AE">
      <w:pPr>
        <w:jc w:val="center"/>
        <w:rPr>
          <w:rFonts w:asciiTheme="minorHAnsi" w:hAnsiTheme="minorHAnsi" w:cstheme="minorHAnsi"/>
          <w:b/>
          <w:iCs/>
        </w:rPr>
      </w:pPr>
      <w:r w:rsidRPr="001547AE">
        <w:rPr>
          <w:rFonts w:asciiTheme="minorHAnsi" w:hAnsiTheme="minorHAnsi" w:cstheme="minorHAnsi"/>
          <w:b/>
          <w:iCs/>
        </w:rPr>
        <w:t>Resentencing Case Law Developments</w:t>
      </w:r>
    </w:p>
    <w:p w14:paraId="60817FF0" w14:textId="30402A60" w:rsidR="001547AE" w:rsidRPr="001547AE" w:rsidRDefault="001547AE" w:rsidP="001547AE">
      <w:pPr>
        <w:jc w:val="center"/>
        <w:rPr>
          <w:rFonts w:asciiTheme="minorHAnsi" w:hAnsiTheme="minorHAnsi" w:cstheme="minorHAnsi"/>
          <w:b/>
          <w:iCs/>
        </w:rPr>
      </w:pPr>
      <w:r w:rsidRPr="001547AE">
        <w:rPr>
          <w:rFonts w:asciiTheme="minorHAnsi" w:hAnsiTheme="minorHAnsi" w:cstheme="minorHAnsi"/>
          <w:b/>
          <w:iCs/>
        </w:rPr>
        <w:t>March 2025</w:t>
      </w:r>
    </w:p>
    <w:p w14:paraId="5035DFD3" w14:textId="77777777" w:rsidR="00866423" w:rsidRPr="001547AE" w:rsidRDefault="00866423" w:rsidP="0019174D">
      <w:pPr>
        <w:rPr>
          <w:rFonts w:asciiTheme="minorHAnsi" w:hAnsiTheme="minorHAnsi" w:cstheme="minorHAnsi"/>
          <w:b/>
          <w:iCs/>
        </w:rPr>
      </w:pPr>
    </w:p>
    <w:p w14:paraId="3FEE8E3C" w14:textId="1050C97D" w:rsidR="0079388A" w:rsidRPr="001547AE" w:rsidRDefault="0079388A" w:rsidP="0019174D">
      <w:pPr>
        <w:rPr>
          <w:rFonts w:asciiTheme="minorHAnsi" w:hAnsiTheme="minorHAnsi" w:cstheme="minorHAnsi"/>
          <w:b/>
          <w:iCs/>
        </w:rPr>
      </w:pPr>
      <w:r w:rsidRPr="001547AE">
        <w:rPr>
          <w:rFonts w:asciiTheme="minorHAnsi" w:hAnsiTheme="minorHAnsi" w:cstheme="minorHAnsi"/>
          <w:b/>
          <w:iCs/>
        </w:rPr>
        <w:t>Resentencing: The defendant</w:t>
      </w:r>
      <w:r w:rsidR="0059196A" w:rsidRPr="001547AE">
        <w:rPr>
          <w:rFonts w:asciiTheme="minorHAnsi" w:hAnsiTheme="minorHAnsi" w:cstheme="minorHAnsi"/>
          <w:b/>
          <w:iCs/>
        </w:rPr>
        <w:t xml:space="preserve">’s motion for </w:t>
      </w:r>
      <w:r w:rsidRPr="001547AE">
        <w:rPr>
          <w:rFonts w:asciiTheme="minorHAnsi" w:hAnsiTheme="minorHAnsi" w:cstheme="minorHAnsi"/>
          <w:b/>
          <w:iCs/>
        </w:rPr>
        <w:t xml:space="preserve">resentencing following </w:t>
      </w:r>
      <w:r w:rsidRPr="001547AE">
        <w:rPr>
          <w:rFonts w:asciiTheme="minorHAnsi" w:hAnsiTheme="minorHAnsi" w:cstheme="minorHAnsi"/>
          <w:b/>
          <w:i/>
        </w:rPr>
        <w:t>Blake</w:t>
      </w:r>
      <w:r w:rsidRPr="001547AE">
        <w:rPr>
          <w:rFonts w:asciiTheme="minorHAnsi" w:hAnsiTheme="minorHAnsi" w:cstheme="minorHAnsi"/>
          <w:b/>
          <w:iCs/>
        </w:rPr>
        <w:t xml:space="preserve"> </w:t>
      </w:r>
      <w:r w:rsidR="0059196A" w:rsidRPr="001547AE">
        <w:rPr>
          <w:rFonts w:asciiTheme="minorHAnsi" w:hAnsiTheme="minorHAnsi" w:cstheme="minorHAnsi"/>
          <w:b/>
          <w:iCs/>
        </w:rPr>
        <w:t xml:space="preserve">was untimely because </w:t>
      </w:r>
      <w:r w:rsidRPr="001547AE">
        <w:rPr>
          <w:rFonts w:asciiTheme="minorHAnsi" w:hAnsiTheme="minorHAnsi" w:cstheme="minorHAnsi"/>
          <w:b/>
          <w:iCs/>
        </w:rPr>
        <w:t>the range did not change</w:t>
      </w:r>
      <w:r w:rsidR="0059196A" w:rsidRPr="001547AE">
        <w:rPr>
          <w:rFonts w:asciiTheme="minorHAnsi" w:hAnsiTheme="minorHAnsi" w:cstheme="minorHAnsi"/>
          <w:b/>
          <w:iCs/>
        </w:rPr>
        <w:t xml:space="preserve"> (affirming </w:t>
      </w:r>
      <w:r w:rsidR="0059196A" w:rsidRPr="001547AE">
        <w:rPr>
          <w:rFonts w:asciiTheme="minorHAnsi" w:hAnsiTheme="minorHAnsi" w:cstheme="minorHAnsi"/>
          <w:b/>
          <w:i/>
        </w:rPr>
        <w:t>Richardson</w:t>
      </w:r>
      <w:r w:rsidR="0059196A" w:rsidRPr="001547AE">
        <w:rPr>
          <w:rFonts w:asciiTheme="minorHAnsi" w:hAnsiTheme="minorHAnsi" w:cstheme="minorHAnsi"/>
          <w:b/>
          <w:iCs/>
        </w:rPr>
        <w:t>)</w:t>
      </w:r>
      <w:r w:rsidRPr="001547AE">
        <w:rPr>
          <w:rFonts w:asciiTheme="minorHAnsi" w:hAnsiTheme="minorHAnsi" w:cstheme="minorHAnsi"/>
          <w:b/>
          <w:iCs/>
        </w:rPr>
        <w:t>.</w:t>
      </w:r>
    </w:p>
    <w:p w14:paraId="7067574F" w14:textId="77777777" w:rsidR="0079388A" w:rsidRPr="001547AE" w:rsidRDefault="0079388A" w:rsidP="0019174D">
      <w:pPr>
        <w:rPr>
          <w:rFonts w:asciiTheme="minorHAnsi" w:hAnsiTheme="minorHAnsi" w:cstheme="minorHAnsi"/>
          <w:b/>
          <w:iCs/>
        </w:rPr>
      </w:pPr>
    </w:p>
    <w:p w14:paraId="40EF1133" w14:textId="3AA07371" w:rsidR="006915E6" w:rsidRPr="001547AE" w:rsidRDefault="006915E6" w:rsidP="0019174D">
      <w:pPr>
        <w:rPr>
          <w:rFonts w:asciiTheme="minorHAnsi" w:hAnsiTheme="minorHAnsi" w:cstheme="minorHAnsi"/>
          <w:b/>
          <w:iCs/>
        </w:rPr>
      </w:pPr>
      <w:r w:rsidRPr="001547AE">
        <w:rPr>
          <w:rFonts w:asciiTheme="minorHAnsi" w:hAnsiTheme="minorHAnsi" w:cstheme="minorHAnsi"/>
          <w:b/>
          <w:iCs/>
        </w:rPr>
        <w:t>Enhancements: Trial court did</w:t>
      </w:r>
      <w:r w:rsidR="009B3D15" w:rsidRPr="001547AE">
        <w:rPr>
          <w:rFonts w:asciiTheme="minorHAnsi" w:hAnsiTheme="minorHAnsi" w:cstheme="minorHAnsi"/>
          <w:b/>
          <w:iCs/>
        </w:rPr>
        <w:t xml:space="preserve"> n</w:t>
      </w:r>
      <w:r w:rsidRPr="001547AE">
        <w:rPr>
          <w:rFonts w:asciiTheme="minorHAnsi" w:hAnsiTheme="minorHAnsi" w:cstheme="minorHAnsi"/>
          <w:b/>
          <w:iCs/>
        </w:rPr>
        <w:t xml:space="preserve">ot have discretion to impose </w:t>
      </w:r>
      <w:r w:rsidR="0059196A" w:rsidRPr="001547AE">
        <w:rPr>
          <w:rFonts w:asciiTheme="minorHAnsi" w:hAnsiTheme="minorHAnsi" w:cstheme="minorHAnsi"/>
          <w:b/>
          <w:iCs/>
        </w:rPr>
        <w:t>concurrent firearm</w:t>
      </w:r>
      <w:r w:rsidRPr="001547AE">
        <w:rPr>
          <w:rFonts w:asciiTheme="minorHAnsi" w:hAnsiTheme="minorHAnsi" w:cstheme="minorHAnsi"/>
          <w:b/>
          <w:iCs/>
        </w:rPr>
        <w:t xml:space="preserve"> enhancements</w:t>
      </w:r>
      <w:r w:rsidR="0059196A" w:rsidRPr="001547AE">
        <w:rPr>
          <w:rFonts w:asciiTheme="minorHAnsi" w:hAnsiTheme="minorHAnsi" w:cstheme="minorHAnsi"/>
          <w:b/>
          <w:iCs/>
        </w:rPr>
        <w:t xml:space="preserve"> at the resentencing hearing.</w:t>
      </w:r>
    </w:p>
    <w:p w14:paraId="721B6B02" w14:textId="77777777" w:rsidR="006915E6" w:rsidRPr="001547AE" w:rsidRDefault="006915E6" w:rsidP="0019174D">
      <w:pPr>
        <w:rPr>
          <w:rFonts w:asciiTheme="minorHAnsi" w:hAnsiTheme="minorHAnsi" w:cstheme="minorHAnsi"/>
          <w:b/>
          <w:iCs/>
        </w:rPr>
      </w:pPr>
    </w:p>
    <w:p w14:paraId="37762662" w14:textId="21DDCC80" w:rsidR="00866423" w:rsidRPr="001547AE" w:rsidRDefault="009079FA" w:rsidP="0019174D">
      <w:pPr>
        <w:rPr>
          <w:rFonts w:asciiTheme="minorHAnsi" w:hAnsiTheme="minorHAnsi" w:cstheme="minorHAnsi"/>
          <w:bCs/>
          <w:iCs/>
        </w:rPr>
      </w:pPr>
      <w:hyperlink r:id="rId9" w:history="1">
        <w:r w:rsidR="00866423" w:rsidRPr="001547AE">
          <w:rPr>
            <w:rStyle w:val="Hyperlink"/>
            <w:rFonts w:asciiTheme="minorHAnsi" w:hAnsiTheme="minorHAnsi" w:cstheme="minorHAnsi"/>
            <w:bCs/>
            <w:iCs/>
          </w:rPr>
          <w:t>State v. Kelly</w:t>
        </w:r>
      </w:hyperlink>
      <w:r w:rsidR="00866423" w:rsidRPr="001547AE">
        <w:rPr>
          <w:rFonts w:asciiTheme="minorHAnsi" w:hAnsiTheme="minorHAnsi" w:cstheme="minorHAnsi"/>
          <w:bCs/>
          <w:iCs/>
        </w:rPr>
        <w:t xml:space="preserve">, </w:t>
      </w:r>
      <w:r w:rsidR="0057031B" w:rsidRPr="001547AE">
        <w:rPr>
          <w:rFonts w:asciiTheme="minorHAnsi" w:hAnsiTheme="minorHAnsi" w:cstheme="minorHAnsi"/>
          <w:bCs/>
          <w:iCs/>
        </w:rPr>
        <w:t>___ Wn.</w:t>
      </w:r>
      <w:r>
        <w:rPr>
          <w:rFonts w:asciiTheme="minorHAnsi" w:hAnsiTheme="minorHAnsi" w:cstheme="minorHAnsi"/>
          <w:bCs/>
          <w:iCs/>
        </w:rPr>
        <w:t>3</w:t>
      </w:r>
      <w:r w:rsidR="0057031B" w:rsidRPr="001547AE">
        <w:rPr>
          <w:rFonts w:asciiTheme="minorHAnsi" w:hAnsiTheme="minorHAnsi" w:cstheme="minorHAnsi"/>
          <w:bCs/>
          <w:iCs/>
        </w:rPr>
        <w:t>d ___, 561 P.3d 246</w:t>
      </w:r>
      <w:r w:rsidR="00866423" w:rsidRPr="001547AE">
        <w:rPr>
          <w:rFonts w:asciiTheme="minorHAnsi" w:hAnsiTheme="minorHAnsi" w:cstheme="minorHAnsi"/>
          <w:bCs/>
          <w:iCs/>
        </w:rPr>
        <w:t xml:space="preserve"> </w:t>
      </w:r>
      <w:r w:rsidR="004265C7" w:rsidRPr="001547AE">
        <w:rPr>
          <w:rFonts w:asciiTheme="minorHAnsi" w:hAnsiTheme="minorHAnsi" w:cstheme="minorHAnsi"/>
          <w:bCs/>
          <w:iCs/>
        </w:rPr>
        <w:t>(</w:t>
      </w:r>
      <w:r w:rsidR="001547AE">
        <w:rPr>
          <w:rFonts w:asciiTheme="minorHAnsi" w:hAnsiTheme="minorHAnsi" w:cstheme="minorHAnsi"/>
          <w:bCs/>
          <w:iCs/>
        </w:rPr>
        <w:t>2024)</w:t>
      </w:r>
    </w:p>
    <w:p w14:paraId="466387FB" w14:textId="77777777" w:rsidR="00866423" w:rsidRPr="001547AE" w:rsidRDefault="00866423" w:rsidP="0019174D">
      <w:pPr>
        <w:rPr>
          <w:rFonts w:asciiTheme="minorHAnsi" w:hAnsiTheme="minorHAnsi" w:cstheme="minorHAnsi"/>
          <w:b/>
          <w:iCs/>
        </w:rPr>
      </w:pPr>
    </w:p>
    <w:p w14:paraId="706FE246" w14:textId="109748A1" w:rsidR="00866423" w:rsidRPr="001547AE" w:rsidRDefault="0079388A" w:rsidP="0019174D">
      <w:pPr>
        <w:rPr>
          <w:rFonts w:asciiTheme="minorHAnsi" w:hAnsiTheme="minorHAnsi" w:cstheme="minorHAnsi"/>
          <w:bCs/>
          <w:iCs/>
        </w:rPr>
      </w:pPr>
      <w:r w:rsidRPr="001547AE">
        <w:rPr>
          <w:rFonts w:asciiTheme="minorHAnsi" w:hAnsiTheme="minorHAnsi" w:cstheme="minorHAnsi"/>
          <w:bCs/>
          <w:iCs/>
        </w:rPr>
        <w:t xml:space="preserve">Following </w:t>
      </w:r>
      <w:r w:rsidRPr="001547AE">
        <w:rPr>
          <w:rFonts w:asciiTheme="minorHAnsi" w:hAnsiTheme="minorHAnsi" w:cstheme="minorHAnsi"/>
          <w:bCs/>
          <w:i/>
        </w:rPr>
        <w:t>State v. Blake</w:t>
      </w:r>
      <w:r w:rsidRPr="001547AE">
        <w:rPr>
          <w:rFonts w:asciiTheme="minorHAnsi" w:hAnsiTheme="minorHAnsi" w:cstheme="minorHAnsi"/>
          <w:bCs/>
          <w:iCs/>
        </w:rPr>
        <w:t xml:space="preserve">, Timothy Kelly sought resentencing in two </w:t>
      </w:r>
      <w:r w:rsidR="00342600" w:rsidRPr="001547AE">
        <w:rPr>
          <w:rFonts w:asciiTheme="minorHAnsi" w:hAnsiTheme="minorHAnsi" w:cstheme="minorHAnsi"/>
          <w:bCs/>
          <w:iCs/>
        </w:rPr>
        <w:t xml:space="preserve">felony </w:t>
      </w:r>
      <w:r w:rsidRPr="001547AE">
        <w:rPr>
          <w:rFonts w:asciiTheme="minorHAnsi" w:hAnsiTheme="minorHAnsi" w:cstheme="minorHAnsi"/>
          <w:bCs/>
          <w:iCs/>
        </w:rPr>
        <w:t>case</w:t>
      </w:r>
      <w:r w:rsidR="00A9616C" w:rsidRPr="001547AE">
        <w:rPr>
          <w:rFonts w:asciiTheme="minorHAnsi" w:hAnsiTheme="minorHAnsi" w:cstheme="minorHAnsi"/>
          <w:bCs/>
          <w:iCs/>
        </w:rPr>
        <w:t>s</w:t>
      </w:r>
      <w:r w:rsidR="00A8455E" w:rsidRPr="001547AE">
        <w:rPr>
          <w:rFonts w:asciiTheme="minorHAnsi" w:hAnsiTheme="minorHAnsi" w:cstheme="minorHAnsi"/>
          <w:bCs/>
          <w:iCs/>
        </w:rPr>
        <w:t xml:space="preserve">. In the first case, Kelly was convicted of PCS and other burglary-related offenses in May </w:t>
      </w:r>
      <w:r w:rsidRPr="001547AE">
        <w:rPr>
          <w:rFonts w:asciiTheme="minorHAnsi" w:hAnsiTheme="minorHAnsi" w:cstheme="minorHAnsi"/>
          <w:bCs/>
          <w:iCs/>
        </w:rPr>
        <w:t>2006</w:t>
      </w:r>
      <w:r w:rsidR="00A8455E" w:rsidRPr="001547AE">
        <w:rPr>
          <w:rFonts w:asciiTheme="minorHAnsi" w:hAnsiTheme="minorHAnsi" w:cstheme="minorHAnsi"/>
          <w:bCs/>
          <w:iCs/>
        </w:rPr>
        <w:t>. In the second case, Kelly was convicted of two counts of burglary with firearm enhancements, theft and weapons charges</w:t>
      </w:r>
      <w:r w:rsidR="008E3C0B" w:rsidRPr="001547AE">
        <w:rPr>
          <w:rFonts w:asciiTheme="minorHAnsi" w:hAnsiTheme="minorHAnsi" w:cstheme="minorHAnsi"/>
          <w:bCs/>
          <w:iCs/>
        </w:rPr>
        <w:t xml:space="preserve"> in Nov. 2006</w:t>
      </w:r>
      <w:r w:rsidR="00342600" w:rsidRPr="001547AE">
        <w:rPr>
          <w:rFonts w:asciiTheme="minorHAnsi" w:hAnsiTheme="minorHAnsi" w:cstheme="minorHAnsi"/>
          <w:bCs/>
          <w:iCs/>
        </w:rPr>
        <w:t>. I</w:t>
      </w:r>
      <w:r w:rsidRPr="001547AE">
        <w:rPr>
          <w:rFonts w:asciiTheme="minorHAnsi" w:hAnsiTheme="minorHAnsi" w:cstheme="minorHAnsi"/>
          <w:bCs/>
          <w:iCs/>
        </w:rPr>
        <w:t>n the</w:t>
      </w:r>
      <w:r w:rsidR="00A8455E" w:rsidRPr="001547AE">
        <w:rPr>
          <w:rFonts w:asciiTheme="minorHAnsi" w:hAnsiTheme="minorHAnsi" w:cstheme="minorHAnsi"/>
          <w:bCs/>
          <w:iCs/>
        </w:rPr>
        <w:t xml:space="preserve"> May</w:t>
      </w:r>
      <w:r w:rsidRPr="001547AE">
        <w:rPr>
          <w:rFonts w:asciiTheme="minorHAnsi" w:hAnsiTheme="minorHAnsi" w:cstheme="minorHAnsi"/>
          <w:bCs/>
          <w:iCs/>
        </w:rPr>
        <w:t xml:space="preserve"> 2006 case, the court corrected</w:t>
      </w:r>
      <w:r w:rsidR="008E3C0B" w:rsidRPr="001547AE">
        <w:rPr>
          <w:rFonts w:asciiTheme="minorHAnsi" w:hAnsiTheme="minorHAnsi" w:cstheme="minorHAnsi"/>
          <w:bCs/>
          <w:iCs/>
        </w:rPr>
        <w:t xml:space="preserve"> the</w:t>
      </w:r>
      <w:r w:rsidRPr="001547AE">
        <w:rPr>
          <w:rFonts w:asciiTheme="minorHAnsi" w:hAnsiTheme="minorHAnsi" w:cstheme="minorHAnsi"/>
          <w:bCs/>
          <w:iCs/>
        </w:rPr>
        <w:t xml:space="preserve"> </w:t>
      </w:r>
      <w:r w:rsidR="008E3C0B" w:rsidRPr="001547AE">
        <w:rPr>
          <w:rFonts w:asciiTheme="minorHAnsi" w:hAnsiTheme="minorHAnsi" w:cstheme="minorHAnsi"/>
          <w:bCs/>
          <w:iCs/>
        </w:rPr>
        <w:t xml:space="preserve">judgment and </w:t>
      </w:r>
      <w:r w:rsidR="0030189F" w:rsidRPr="001547AE">
        <w:rPr>
          <w:rFonts w:asciiTheme="minorHAnsi" w:hAnsiTheme="minorHAnsi" w:cstheme="minorHAnsi"/>
          <w:bCs/>
          <w:iCs/>
        </w:rPr>
        <w:t>sentence</w:t>
      </w:r>
      <w:r w:rsidRPr="001547AE">
        <w:rPr>
          <w:rFonts w:asciiTheme="minorHAnsi" w:hAnsiTheme="minorHAnsi" w:cstheme="minorHAnsi"/>
          <w:bCs/>
          <w:iCs/>
        </w:rPr>
        <w:t xml:space="preserve"> to remove the </w:t>
      </w:r>
      <w:r w:rsidRPr="001547AE">
        <w:rPr>
          <w:rFonts w:asciiTheme="minorHAnsi" w:hAnsiTheme="minorHAnsi" w:cstheme="minorHAnsi"/>
          <w:bCs/>
          <w:i/>
        </w:rPr>
        <w:t>Blake</w:t>
      </w:r>
      <w:r w:rsidRPr="001547AE">
        <w:rPr>
          <w:rFonts w:asciiTheme="minorHAnsi" w:hAnsiTheme="minorHAnsi" w:cstheme="minorHAnsi"/>
          <w:bCs/>
          <w:iCs/>
        </w:rPr>
        <w:t xml:space="preserve"> conviction</w:t>
      </w:r>
      <w:r w:rsidR="00342600" w:rsidRPr="001547AE">
        <w:rPr>
          <w:rFonts w:asciiTheme="minorHAnsi" w:hAnsiTheme="minorHAnsi" w:cstheme="minorHAnsi"/>
          <w:bCs/>
          <w:iCs/>
        </w:rPr>
        <w:t xml:space="preserve"> but did not resentence Kelly because </w:t>
      </w:r>
      <w:r w:rsidR="00C807FD" w:rsidRPr="001547AE">
        <w:rPr>
          <w:rFonts w:asciiTheme="minorHAnsi" w:hAnsiTheme="minorHAnsi" w:cstheme="minorHAnsi"/>
          <w:bCs/>
          <w:iCs/>
        </w:rPr>
        <w:t>the sentence was</w:t>
      </w:r>
      <w:r w:rsidR="00342600" w:rsidRPr="001547AE">
        <w:rPr>
          <w:rFonts w:asciiTheme="minorHAnsi" w:hAnsiTheme="minorHAnsi" w:cstheme="minorHAnsi"/>
          <w:bCs/>
          <w:iCs/>
        </w:rPr>
        <w:t xml:space="preserve"> </w:t>
      </w:r>
      <w:r w:rsidR="0059196A" w:rsidRPr="001547AE">
        <w:rPr>
          <w:rFonts w:asciiTheme="minorHAnsi" w:hAnsiTheme="minorHAnsi" w:cstheme="minorHAnsi"/>
          <w:bCs/>
          <w:iCs/>
        </w:rPr>
        <w:t xml:space="preserve">already </w:t>
      </w:r>
      <w:r w:rsidR="00342600" w:rsidRPr="001547AE">
        <w:rPr>
          <w:rFonts w:asciiTheme="minorHAnsi" w:hAnsiTheme="minorHAnsi" w:cstheme="minorHAnsi"/>
          <w:bCs/>
          <w:iCs/>
        </w:rPr>
        <w:t>completed</w:t>
      </w:r>
      <w:r w:rsidRPr="001547AE">
        <w:rPr>
          <w:rFonts w:asciiTheme="minorHAnsi" w:hAnsiTheme="minorHAnsi" w:cstheme="minorHAnsi"/>
          <w:bCs/>
          <w:iCs/>
        </w:rPr>
        <w:t xml:space="preserve">. </w:t>
      </w:r>
      <w:r w:rsidR="00342600" w:rsidRPr="001547AE">
        <w:rPr>
          <w:rFonts w:asciiTheme="minorHAnsi" w:hAnsiTheme="minorHAnsi" w:cstheme="minorHAnsi"/>
          <w:bCs/>
          <w:iCs/>
        </w:rPr>
        <w:t>In the</w:t>
      </w:r>
      <w:r w:rsidR="00A8455E" w:rsidRPr="001547AE">
        <w:rPr>
          <w:rFonts w:asciiTheme="minorHAnsi" w:hAnsiTheme="minorHAnsi" w:cstheme="minorHAnsi"/>
          <w:bCs/>
          <w:iCs/>
        </w:rPr>
        <w:t xml:space="preserve"> Nov. 2006</w:t>
      </w:r>
      <w:r w:rsidR="00342600" w:rsidRPr="001547AE">
        <w:rPr>
          <w:rFonts w:asciiTheme="minorHAnsi" w:hAnsiTheme="minorHAnsi" w:cstheme="minorHAnsi"/>
          <w:bCs/>
          <w:iCs/>
        </w:rPr>
        <w:t xml:space="preserve"> case, t</w:t>
      </w:r>
      <w:r w:rsidRPr="001547AE">
        <w:rPr>
          <w:rFonts w:asciiTheme="minorHAnsi" w:hAnsiTheme="minorHAnsi" w:cstheme="minorHAnsi"/>
          <w:bCs/>
          <w:iCs/>
        </w:rPr>
        <w:t xml:space="preserve">he </w:t>
      </w:r>
      <w:r w:rsidR="00A8455E" w:rsidRPr="001547AE">
        <w:rPr>
          <w:rFonts w:asciiTheme="minorHAnsi" w:hAnsiTheme="minorHAnsi" w:cstheme="minorHAnsi"/>
          <w:bCs/>
          <w:iCs/>
        </w:rPr>
        <w:t>trial court granted resentencing</w:t>
      </w:r>
      <w:r w:rsidR="008E3C0B" w:rsidRPr="001547AE">
        <w:rPr>
          <w:rFonts w:asciiTheme="minorHAnsi" w:hAnsiTheme="minorHAnsi" w:cstheme="minorHAnsi"/>
          <w:bCs/>
          <w:iCs/>
        </w:rPr>
        <w:t xml:space="preserve"> and</w:t>
      </w:r>
      <w:r w:rsidR="00A8455E" w:rsidRPr="001547AE">
        <w:rPr>
          <w:rFonts w:asciiTheme="minorHAnsi" w:hAnsiTheme="minorHAnsi" w:cstheme="minorHAnsi"/>
          <w:bCs/>
          <w:iCs/>
        </w:rPr>
        <w:t xml:space="preserve"> corrected the judgment and sentence by removing two </w:t>
      </w:r>
      <w:r w:rsidR="00A8455E" w:rsidRPr="001547AE">
        <w:rPr>
          <w:rFonts w:asciiTheme="minorHAnsi" w:hAnsiTheme="minorHAnsi" w:cstheme="minorHAnsi"/>
          <w:bCs/>
          <w:i/>
        </w:rPr>
        <w:t>Blake</w:t>
      </w:r>
      <w:r w:rsidR="00A8455E" w:rsidRPr="001547AE">
        <w:rPr>
          <w:rFonts w:asciiTheme="minorHAnsi" w:hAnsiTheme="minorHAnsi" w:cstheme="minorHAnsi"/>
          <w:bCs/>
          <w:iCs/>
        </w:rPr>
        <w:t xml:space="preserve"> points</w:t>
      </w:r>
      <w:r w:rsidR="00342600" w:rsidRPr="001547AE">
        <w:rPr>
          <w:rFonts w:asciiTheme="minorHAnsi" w:hAnsiTheme="minorHAnsi" w:cstheme="minorHAnsi"/>
          <w:bCs/>
          <w:iCs/>
        </w:rPr>
        <w:t xml:space="preserve">. </w:t>
      </w:r>
      <w:r w:rsidR="00A8455E" w:rsidRPr="001547AE">
        <w:rPr>
          <w:rFonts w:asciiTheme="minorHAnsi" w:hAnsiTheme="minorHAnsi" w:cstheme="minorHAnsi"/>
          <w:bCs/>
          <w:iCs/>
        </w:rPr>
        <w:t>The State did not object and t</w:t>
      </w:r>
      <w:r w:rsidR="00342600" w:rsidRPr="001547AE">
        <w:rPr>
          <w:rFonts w:asciiTheme="minorHAnsi" w:hAnsiTheme="minorHAnsi" w:cstheme="minorHAnsi"/>
          <w:bCs/>
          <w:iCs/>
        </w:rPr>
        <w:t xml:space="preserve">he </w:t>
      </w:r>
      <w:r w:rsidRPr="001547AE">
        <w:rPr>
          <w:rFonts w:asciiTheme="minorHAnsi" w:hAnsiTheme="minorHAnsi" w:cstheme="minorHAnsi"/>
          <w:bCs/>
          <w:iCs/>
        </w:rPr>
        <w:t>trial court resentenced Kelly</w:t>
      </w:r>
      <w:r w:rsidR="008E3C0B" w:rsidRPr="001547AE">
        <w:rPr>
          <w:rFonts w:asciiTheme="minorHAnsi" w:hAnsiTheme="minorHAnsi" w:cstheme="minorHAnsi"/>
          <w:bCs/>
          <w:iCs/>
        </w:rPr>
        <w:t xml:space="preserve">, even though the </w:t>
      </w:r>
      <w:r w:rsidR="00FD7985" w:rsidRPr="001547AE">
        <w:rPr>
          <w:rFonts w:asciiTheme="minorHAnsi" w:hAnsiTheme="minorHAnsi" w:cstheme="minorHAnsi"/>
          <w:bCs/>
          <w:iCs/>
        </w:rPr>
        <w:t xml:space="preserve">standard </w:t>
      </w:r>
      <w:r w:rsidR="008E3C0B" w:rsidRPr="001547AE">
        <w:rPr>
          <w:rFonts w:asciiTheme="minorHAnsi" w:hAnsiTheme="minorHAnsi" w:cstheme="minorHAnsi"/>
          <w:bCs/>
          <w:iCs/>
        </w:rPr>
        <w:t>range did not change</w:t>
      </w:r>
      <w:r w:rsidR="00A8455E" w:rsidRPr="001547AE">
        <w:rPr>
          <w:rFonts w:asciiTheme="minorHAnsi" w:hAnsiTheme="minorHAnsi" w:cstheme="minorHAnsi"/>
          <w:bCs/>
          <w:iCs/>
        </w:rPr>
        <w:t>. The court left</w:t>
      </w:r>
      <w:r w:rsidRPr="001547AE">
        <w:rPr>
          <w:rFonts w:asciiTheme="minorHAnsi" w:hAnsiTheme="minorHAnsi" w:cstheme="minorHAnsi"/>
          <w:bCs/>
          <w:iCs/>
        </w:rPr>
        <w:t xml:space="preserve"> the </w:t>
      </w:r>
      <w:r w:rsidR="00342600" w:rsidRPr="001547AE">
        <w:rPr>
          <w:rFonts w:asciiTheme="minorHAnsi" w:hAnsiTheme="minorHAnsi" w:cstheme="minorHAnsi"/>
          <w:bCs/>
          <w:iCs/>
        </w:rPr>
        <w:t xml:space="preserve">original </w:t>
      </w:r>
      <w:r w:rsidRPr="001547AE">
        <w:rPr>
          <w:rFonts w:asciiTheme="minorHAnsi" w:hAnsiTheme="minorHAnsi" w:cstheme="minorHAnsi"/>
          <w:bCs/>
          <w:iCs/>
        </w:rPr>
        <w:t xml:space="preserve">base sentence intact but </w:t>
      </w:r>
      <w:r w:rsidR="00A8455E" w:rsidRPr="001547AE">
        <w:rPr>
          <w:rFonts w:asciiTheme="minorHAnsi" w:hAnsiTheme="minorHAnsi" w:cstheme="minorHAnsi"/>
          <w:bCs/>
          <w:iCs/>
        </w:rPr>
        <w:t xml:space="preserve">shortened the sentence by </w:t>
      </w:r>
      <w:r w:rsidR="00342600" w:rsidRPr="001547AE">
        <w:rPr>
          <w:rFonts w:asciiTheme="minorHAnsi" w:hAnsiTheme="minorHAnsi" w:cstheme="minorHAnsi"/>
          <w:bCs/>
          <w:iCs/>
        </w:rPr>
        <w:t>modif</w:t>
      </w:r>
      <w:r w:rsidR="00A8455E" w:rsidRPr="001547AE">
        <w:rPr>
          <w:rFonts w:asciiTheme="minorHAnsi" w:hAnsiTheme="minorHAnsi" w:cstheme="minorHAnsi"/>
          <w:bCs/>
          <w:iCs/>
        </w:rPr>
        <w:t xml:space="preserve">ying the two </w:t>
      </w:r>
      <w:r w:rsidRPr="001547AE">
        <w:rPr>
          <w:rFonts w:asciiTheme="minorHAnsi" w:hAnsiTheme="minorHAnsi" w:cstheme="minorHAnsi"/>
          <w:bCs/>
          <w:iCs/>
        </w:rPr>
        <w:t xml:space="preserve">firearm enhancements </w:t>
      </w:r>
      <w:r w:rsidR="00342600" w:rsidRPr="001547AE">
        <w:rPr>
          <w:rFonts w:asciiTheme="minorHAnsi" w:hAnsiTheme="minorHAnsi" w:cstheme="minorHAnsi"/>
          <w:bCs/>
          <w:iCs/>
        </w:rPr>
        <w:t xml:space="preserve">to run </w:t>
      </w:r>
      <w:r w:rsidRPr="001547AE">
        <w:rPr>
          <w:rFonts w:asciiTheme="minorHAnsi" w:hAnsiTheme="minorHAnsi" w:cstheme="minorHAnsi"/>
          <w:bCs/>
          <w:iCs/>
        </w:rPr>
        <w:t xml:space="preserve">concurrently. </w:t>
      </w:r>
      <w:r w:rsidR="00A8455E" w:rsidRPr="001547AE">
        <w:rPr>
          <w:rFonts w:asciiTheme="minorHAnsi" w:hAnsiTheme="minorHAnsi" w:cstheme="minorHAnsi"/>
          <w:bCs/>
          <w:iCs/>
        </w:rPr>
        <w:t xml:space="preserve">The State appealed the trial court’s ruling running the firearm enhancements concurrently. </w:t>
      </w:r>
      <w:r w:rsidR="0030189F" w:rsidRPr="001547AE">
        <w:rPr>
          <w:rFonts w:asciiTheme="minorHAnsi" w:hAnsiTheme="minorHAnsi" w:cstheme="minorHAnsi"/>
          <w:bCs/>
          <w:iCs/>
        </w:rPr>
        <w:t>Kelly cross</w:t>
      </w:r>
      <w:r w:rsidR="00A8455E" w:rsidRPr="001547AE">
        <w:rPr>
          <w:rFonts w:asciiTheme="minorHAnsi" w:hAnsiTheme="minorHAnsi" w:cstheme="minorHAnsi"/>
          <w:bCs/>
          <w:iCs/>
        </w:rPr>
        <w:t>-appealed, arguing the May and Nov. 2006 sentence</w:t>
      </w:r>
      <w:r w:rsidR="008E3C0B" w:rsidRPr="001547AE">
        <w:rPr>
          <w:rFonts w:asciiTheme="minorHAnsi" w:hAnsiTheme="minorHAnsi" w:cstheme="minorHAnsi"/>
          <w:bCs/>
          <w:iCs/>
        </w:rPr>
        <w:t>s</w:t>
      </w:r>
      <w:r w:rsidR="00A8455E" w:rsidRPr="001547AE">
        <w:rPr>
          <w:rFonts w:asciiTheme="minorHAnsi" w:hAnsiTheme="minorHAnsi" w:cstheme="minorHAnsi"/>
          <w:bCs/>
          <w:iCs/>
        </w:rPr>
        <w:t xml:space="preserve"> should run concurrently</w:t>
      </w:r>
      <w:r w:rsidR="008E3C0B" w:rsidRPr="001547AE">
        <w:rPr>
          <w:rFonts w:asciiTheme="minorHAnsi" w:hAnsiTheme="minorHAnsi" w:cstheme="minorHAnsi"/>
          <w:bCs/>
          <w:iCs/>
        </w:rPr>
        <w:t xml:space="preserve"> because the resentencing hearings </w:t>
      </w:r>
      <w:proofErr w:type="gramStart"/>
      <w:r w:rsidR="008E3C0B" w:rsidRPr="001547AE">
        <w:rPr>
          <w:rFonts w:asciiTheme="minorHAnsi" w:hAnsiTheme="minorHAnsi" w:cstheme="minorHAnsi"/>
          <w:bCs/>
          <w:iCs/>
        </w:rPr>
        <w:t>were  scheduled</w:t>
      </w:r>
      <w:proofErr w:type="gramEnd"/>
      <w:r w:rsidR="008E3C0B" w:rsidRPr="001547AE">
        <w:rPr>
          <w:rFonts w:asciiTheme="minorHAnsi" w:hAnsiTheme="minorHAnsi" w:cstheme="minorHAnsi"/>
          <w:bCs/>
          <w:iCs/>
        </w:rPr>
        <w:t xml:space="preserve"> for the same day. The Court of Appeals held that the trial court correctly denied Kelly’s request for resentencing in the May 2006 case because it was time barred under RCW 10.73.090(1) and .100.  In the consolidated Nov. 2006 case the Court of Appeals held that Kelly was not entitled to resentencing because of the time bar. The appellate court reversed the sentence and remanded to the trial court to remove 2 points from the offender score </w:t>
      </w:r>
      <w:r w:rsidR="00FD7985" w:rsidRPr="001547AE">
        <w:rPr>
          <w:rFonts w:asciiTheme="minorHAnsi" w:hAnsiTheme="minorHAnsi" w:cstheme="minorHAnsi"/>
          <w:bCs/>
          <w:iCs/>
        </w:rPr>
        <w:t>and</w:t>
      </w:r>
      <w:r w:rsidR="008E3C0B" w:rsidRPr="001547AE">
        <w:rPr>
          <w:rFonts w:asciiTheme="minorHAnsi" w:hAnsiTheme="minorHAnsi" w:cstheme="minorHAnsi"/>
          <w:bCs/>
          <w:iCs/>
        </w:rPr>
        <w:t xml:space="preserve"> to leave the </w:t>
      </w:r>
      <w:r w:rsidR="00FD7985" w:rsidRPr="001547AE">
        <w:rPr>
          <w:rFonts w:asciiTheme="minorHAnsi" w:hAnsiTheme="minorHAnsi" w:cstheme="minorHAnsi"/>
          <w:bCs/>
          <w:iCs/>
        </w:rPr>
        <w:t xml:space="preserve">previous </w:t>
      </w:r>
      <w:r w:rsidR="008E3C0B" w:rsidRPr="001547AE">
        <w:rPr>
          <w:rFonts w:asciiTheme="minorHAnsi" w:hAnsiTheme="minorHAnsi" w:cstheme="minorHAnsi"/>
          <w:bCs/>
          <w:iCs/>
        </w:rPr>
        <w:t>sentence in place.</w:t>
      </w:r>
    </w:p>
    <w:p w14:paraId="1F4F2FAE" w14:textId="77777777" w:rsidR="0079388A" w:rsidRPr="001547AE" w:rsidRDefault="0079388A" w:rsidP="0019174D">
      <w:pPr>
        <w:rPr>
          <w:rFonts w:asciiTheme="minorHAnsi" w:hAnsiTheme="minorHAnsi" w:cstheme="minorHAnsi"/>
          <w:bCs/>
          <w:iCs/>
        </w:rPr>
      </w:pPr>
    </w:p>
    <w:p w14:paraId="3C238032" w14:textId="3A34062B" w:rsidR="0059196A" w:rsidRPr="001547AE" w:rsidRDefault="0079388A" w:rsidP="0019174D">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xml:space="preserve">, </w:t>
      </w:r>
      <w:r w:rsidR="00FD7985" w:rsidRPr="001547AE">
        <w:rPr>
          <w:rFonts w:asciiTheme="minorHAnsi" w:hAnsiTheme="minorHAnsi" w:cstheme="minorHAnsi"/>
          <w:bCs/>
          <w:iCs/>
        </w:rPr>
        <w:t xml:space="preserve">Kelly’s motion for resentencing more than one year after the judgment and sentence was final was untimely. The </w:t>
      </w:r>
      <w:r w:rsidRPr="001547AE">
        <w:rPr>
          <w:rFonts w:asciiTheme="minorHAnsi" w:hAnsiTheme="minorHAnsi" w:cstheme="minorHAnsi"/>
          <w:bCs/>
          <w:iCs/>
        </w:rPr>
        <w:t xml:space="preserve">judgment and sentence </w:t>
      </w:r>
      <w:proofErr w:type="gramStart"/>
      <w:r w:rsidRPr="001547AE">
        <w:rPr>
          <w:rFonts w:asciiTheme="minorHAnsi" w:hAnsiTheme="minorHAnsi" w:cstheme="minorHAnsi"/>
          <w:bCs/>
          <w:iCs/>
        </w:rPr>
        <w:t>was</w:t>
      </w:r>
      <w:proofErr w:type="gramEnd"/>
      <w:r w:rsidRPr="001547AE">
        <w:rPr>
          <w:rFonts w:asciiTheme="minorHAnsi" w:hAnsiTheme="minorHAnsi" w:cstheme="minorHAnsi"/>
          <w:bCs/>
          <w:iCs/>
        </w:rPr>
        <w:t xml:space="preserve"> </w:t>
      </w:r>
      <w:r w:rsidR="00342600" w:rsidRPr="001547AE">
        <w:rPr>
          <w:rFonts w:asciiTheme="minorHAnsi" w:hAnsiTheme="minorHAnsi" w:cstheme="minorHAnsi"/>
          <w:bCs/>
          <w:iCs/>
        </w:rPr>
        <w:t>valid</w:t>
      </w:r>
      <w:r w:rsidRPr="001547AE">
        <w:rPr>
          <w:rFonts w:asciiTheme="minorHAnsi" w:hAnsiTheme="minorHAnsi" w:cstheme="minorHAnsi"/>
          <w:bCs/>
          <w:iCs/>
        </w:rPr>
        <w:t xml:space="preserve"> on its face </w:t>
      </w:r>
      <w:r w:rsidR="00FD7985" w:rsidRPr="001547AE">
        <w:rPr>
          <w:rFonts w:asciiTheme="minorHAnsi" w:hAnsiTheme="minorHAnsi" w:cstheme="minorHAnsi"/>
          <w:bCs/>
          <w:iCs/>
        </w:rPr>
        <w:t xml:space="preserve">because the range did not change after removal of the </w:t>
      </w:r>
      <w:r w:rsidR="00FD7985" w:rsidRPr="001547AE">
        <w:rPr>
          <w:rFonts w:asciiTheme="minorHAnsi" w:hAnsiTheme="minorHAnsi" w:cstheme="minorHAnsi"/>
          <w:bCs/>
          <w:i/>
        </w:rPr>
        <w:t>Blake</w:t>
      </w:r>
      <w:r w:rsidR="00FD7985" w:rsidRPr="001547AE">
        <w:rPr>
          <w:rFonts w:asciiTheme="minorHAnsi" w:hAnsiTheme="minorHAnsi" w:cstheme="minorHAnsi"/>
          <w:bCs/>
          <w:iCs/>
        </w:rPr>
        <w:t xml:space="preserve"> convictions. </w:t>
      </w:r>
      <w:r w:rsidR="00FD7985" w:rsidRPr="001547AE">
        <w:rPr>
          <w:rFonts w:asciiTheme="minorHAnsi" w:hAnsiTheme="minorHAnsi" w:cstheme="minorHAnsi"/>
          <w:bCs/>
          <w:i/>
        </w:rPr>
        <w:t>Blake</w:t>
      </w:r>
      <w:r w:rsidR="00FD7985" w:rsidRPr="001547AE">
        <w:rPr>
          <w:rFonts w:asciiTheme="minorHAnsi" w:hAnsiTheme="minorHAnsi" w:cstheme="minorHAnsi"/>
          <w:bCs/>
          <w:iCs/>
        </w:rPr>
        <w:t xml:space="preserve"> is not material to a sentence where correction of the offender score has no practical effect on the standard range. </w:t>
      </w:r>
    </w:p>
    <w:p w14:paraId="3E5D224F" w14:textId="77777777" w:rsidR="00FD7985" w:rsidRPr="001547AE" w:rsidRDefault="00FD7985" w:rsidP="0019174D">
      <w:pPr>
        <w:rPr>
          <w:rFonts w:asciiTheme="minorHAnsi" w:hAnsiTheme="minorHAnsi" w:cstheme="minorHAnsi"/>
          <w:bCs/>
          <w:i/>
        </w:rPr>
      </w:pPr>
    </w:p>
    <w:p w14:paraId="196DB685" w14:textId="1F8BDE62" w:rsidR="00342600" w:rsidRPr="001547AE" w:rsidRDefault="00342600" w:rsidP="0019174D">
      <w:pPr>
        <w:rPr>
          <w:rFonts w:asciiTheme="minorHAnsi" w:hAnsiTheme="minorHAnsi" w:cstheme="minorHAnsi"/>
          <w:bCs/>
          <w:iCs/>
        </w:rPr>
      </w:pPr>
      <w:r w:rsidRPr="001547AE">
        <w:rPr>
          <w:rFonts w:asciiTheme="minorHAnsi" w:hAnsiTheme="minorHAnsi" w:cstheme="minorHAnsi"/>
          <w:bCs/>
          <w:i/>
        </w:rPr>
        <w:lastRenderedPageBreak/>
        <w:t>Held</w:t>
      </w:r>
      <w:r w:rsidRPr="001547AE">
        <w:rPr>
          <w:rFonts w:asciiTheme="minorHAnsi" w:hAnsiTheme="minorHAnsi" w:cstheme="minorHAnsi"/>
          <w:bCs/>
          <w:iCs/>
        </w:rPr>
        <w:t xml:space="preserve">, vacating a drug possession conviction following </w:t>
      </w:r>
      <w:r w:rsidRPr="001547AE">
        <w:rPr>
          <w:rFonts w:asciiTheme="minorHAnsi" w:hAnsiTheme="minorHAnsi" w:cstheme="minorHAnsi"/>
          <w:bCs/>
          <w:i/>
        </w:rPr>
        <w:t>Blake</w:t>
      </w:r>
      <w:r w:rsidRPr="001547AE">
        <w:rPr>
          <w:rFonts w:asciiTheme="minorHAnsi" w:hAnsiTheme="minorHAnsi" w:cstheme="minorHAnsi"/>
          <w:bCs/>
          <w:iCs/>
        </w:rPr>
        <w:t xml:space="preserve"> did not vacate the entire judgment and sentence in the</w:t>
      </w:r>
      <w:r w:rsidR="00FD7985" w:rsidRPr="001547AE">
        <w:rPr>
          <w:rFonts w:asciiTheme="minorHAnsi" w:hAnsiTheme="minorHAnsi" w:cstheme="minorHAnsi"/>
          <w:bCs/>
          <w:iCs/>
        </w:rPr>
        <w:t xml:space="preserve"> May</w:t>
      </w:r>
      <w:r w:rsidRPr="001547AE">
        <w:rPr>
          <w:rFonts w:asciiTheme="minorHAnsi" w:hAnsiTheme="minorHAnsi" w:cstheme="minorHAnsi"/>
          <w:bCs/>
          <w:iCs/>
        </w:rPr>
        <w:t xml:space="preserve"> 2006 case. </w:t>
      </w:r>
    </w:p>
    <w:p w14:paraId="730117D7" w14:textId="77777777" w:rsidR="00342600" w:rsidRPr="001547AE" w:rsidRDefault="00342600" w:rsidP="0019174D">
      <w:pPr>
        <w:rPr>
          <w:rFonts w:asciiTheme="minorHAnsi" w:hAnsiTheme="minorHAnsi" w:cstheme="minorHAnsi"/>
          <w:bCs/>
          <w:i/>
        </w:rPr>
      </w:pPr>
    </w:p>
    <w:p w14:paraId="3CBC8064" w14:textId="500C3577" w:rsidR="0079388A" w:rsidRPr="001547AE" w:rsidRDefault="0079388A" w:rsidP="0019174D">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the trial exceeded its authority by imposing concurrent firearm enhancements</w:t>
      </w:r>
      <w:r w:rsidR="0059196A" w:rsidRPr="001547AE">
        <w:rPr>
          <w:rFonts w:asciiTheme="minorHAnsi" w:hAnsiTheme="minorHAnsi" w:cstheme="minorHAnsi"/>
          <w:bCs/>
          <w:iCs/>
        </w:rPr>
        <w:t xml:space="preserve"> at resentencing</w:t>
      </w:r>
      <w:r w:rsidRPr="001547AE">
        <w:rPr>
          <w:rFonts w:asciiTheme="minorHAnsi" w:hAnsiTheme="minorHAnsi" w:cstheme="minorHAnsi"/>
          <w:bCs/>
          <w:iCs/>
        </w:rPr>
        <w:t>.</w:t>
      </w:r>
    </w:p>
    <w:p w14:paraId="384A023E" w14:textId="77777777" w:rsidR="00342600" w:rsidRPr="001547AE" w:rsidRDefault="00342600" w:rsidP="0019174D">
      <w:pPr>
        <w:rPr>
          <w:rFonts w:asciiTheme="minorHAnsi" w:hAnsiTheme="minorHAnsi" w:cstheme="minorHAnsi"/>
          <w:bCs/>
          <w:iCs/>
        </w:rPr>
      </w:pPr>
    </w:p>
    <w:p w14:paraId="286C1110" w14:textId="40254CB7" w:rsidR="00866423" w:rsidRPr="001547AE" w:rsidRDefault="00342600" w:rsidP="0019174D">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xml:space="preserve">, the </w:t>
      </w:r>
      <w:r w:rsidR="0059196A" w:rsidRPr="001547AE">
        <w:rPr>
          <w:rFonts w:asciiTheme="minorHAnsi" w:hAnsiTheme="minorHAnsi" w:cstheme="minorHAnsi"/>
          <w:bCs/>
          <w:iCs/>
        </w:rPr>
        <w:t xml:space="preserve">State’s failure to assert the time bar at the trial court is not invited error and </w:t>
      </w:r>
      <w:r w:rsidRPr="001547AE">
        <w:rPr>
          <w:rFonts w:asciiTheme="minorHAnsi" w:hAnsiTheme="minorHAnsi" w:cstheme="minorHAnsi"/>
          <w:bCs/>
          <w:iCs/>
        </w:rPr>
        <w:t xml:space="preserve">does not </w:t>
      </w:r>
      <w:r w:rsidR="00A9616C" w:rsidRPr="001547AE">
        <w:rPr>
          <w:rFonts w:asciiTheme="minorHAnsi" w:hAnsiTheme="minorHAnsi" w:cstheme="minorHAnsi"/>
          <w:bCs/>
          <w:iCs/>
        </w:rPr>
        <w:t xml:space="preserve">preclude the State from challenging </w:t>
      </w:r>
      <w:r w:rsidR="00F80E08" w:rsidRPr="001547AE">
        <w:rPr>
          <w:rFonts w:asciiTheme="minorHAnsi" w:hAnsiTheme="minorHAnsi" w:cstheme="minorHAnsi"/>
          <w:bCs/>
          <w:iCs/>
        </w:rPr>
        <w:t xml:space="preserve">resentencing </w:t>
      </w:r>
    </w:p>
    <w:p w14:paraId="0C978012" w14:textId="77777777" w:rsidR="00F80E08" w:rsidRPr="001547AE" w:rsidRDefault="00F80E08" w:rsidP="0019174D">
      <w:pPr>
        <w:rPr>
          <w:rFonts w:asciiTheme="minorHAnsi" w:hAnsiTheme="minorHAnsi" w:cstheme="minorHAnsi"/>
          <w:b/>
          <w:iCs/>
        </w:rPr>
      </w:pPr>
    </w:p>
    <w:p w14:paraId="24F3D063" w14:textId="77777777" w:rsidR="001C27D9" w:rsidRPr="001547AE" w:rsidRDefault="001C27D9" w:rsidP="0019174D">
      <w:pPr>
        <w:rPr>
          <w:rFonts w:asciiTheme="minorHAnsi" w:hAnsiTheme="minorHAnsi" w:cstheme="minorHAnsi"/>
          <w:b/>
          <w:iCs/>
        </w:rPr>
      </w:pPr>
    </w:p>
    <w:p w14:paraId="035B895D" w14:textId="46430762" w:rsidR="00EA5F81" w:rsidRPr="001547AE" w:rsidRDefault="00EA5F81" w:rsidP="0019174D">
      <w:pPr>
        <w:rPr>
          <w:rFonts w:asciiTheme="minorHAnsi" w:hAnsiTheme="minorHAnsi" w:cstheme="minorHAnsi"/>
          <w:bCs/>
          <w:iCs/>
        </w:rPr>
      </w:pPr>
      <w:r w:rsidRPr="001547AE">
        <w:rPr>
          <w:rFonts w:asciiTheme="minorHAnsi" w:hAnsiTheme="minorHAnsi" w:cstheme="minorHAnsi"/>
          <w:b/>
          <w:iCs/>
        </w:rPr>
        <w:t xml:space="preserve">Resentencing/Scope: </w:t>
      </w:r>
      <w:r w:rsidR="0059196A" w:rsidRPr="001547AE">
        <w:rPr>
          <w:rFonts w:asciiTheme="minorHAnsi" w:hAnsiTheme="minorHAnsi" w:cstheme="minorHAnsi"/>
          <w:b/>
          <w:iCs/>
        </w:rPr>
        <w:t xml:space="preserve">Unless the appellate court restricts issues at the resentencing hearing, resentencing is </w:t>
      </w:r>
      <w:r w:rsidR="0059196A" w:rsidRPr="00050244">
        <w:rPr>
          <w:rFonts w:asciiTheme="minorHAnsi" w:hAnsiTheme="minorHAnsi" w:cstheme="minorHAnsi"/>
          <w:b/>
          <w:i/>
        </w:rPr>
        <w:t>de novo</w:t>
      </w:r>
      <w:r w:rsidR="0059196A" w:rsidRPr="001547AE">
        <w:rPr>
          <w:rFonts w:asciiTheme="minorHAnsi" w:hAnsiTheme="minorHAnsi" w:cstheme="minorHAnsi"/>
          <w:b/>
          <w:iCs/>
        </w:rPr>
        <w:t>.</w:t>
      </w:r>
    </w:p>
    <w:p w14:paraId="32C67CEF" w14:textId="77777777" w:rsidR="00050244" w:rsidRDefault="00050244" w:rsidP="0019174D"/>
    <w:p w14:paraId="5E752F1F" w14:textId="16745AC7" w:rsidR="001C27D9" w:rsidRPr="001547AE" w:rsidRDefault="001C27D9" w:rsidP="0019174D">
      <w:pPr>
        <w:rPr>
          <w:rFonts w:asciiTheme="minorHAnsi" w:hAnsiTheme="minorHAnsi" w:cstheme="minorHAnsi"/>
          <w:bCs/>
          <w:iCs/>
        </w:rPr>
      </w:pPr>
      <w:r w:rsidRPr="009079FA">
        <w:rPr>
          <w:rFonts w:asciiTheme="minorHAnsi" w:hAnsiTheme="minorHAnsi" w:cstheme="minorHAnsi"/>
          <w:bCs/>
          <w:i/>
        </w:rPr>
        <w:t>State v. Vasquez</w:t>
      </w:r>
      <w:r w:rsidRPr="001547AE">
        <w:rPr>
          <w:rFonts w:asciiTheme="minorHAnsi" w:hAnsiTheme="minorHAnsi" w:cstheme="minorHAnsi"/>
          <w:bCs/>
          <w:iCs/>
        </w:rPr>
        <w:t>, ___ Wn.</w:t>
      </w:r>
      <w:r w:rsidR="009079FA">
        <w:rPr>
          <w:rFonts w:asciiTheme="minorHAnsi" w:hAnsiTheme="minorHAnsi" w:cstheme="minorHAnsi"/>
          <w:bCs/>
          <w:iCs/>
        </w:rPr>
        <w:t>3</w:t>
      </w:r>
      <w:r w:rsidRPr="001547AE">
        <w:rPr>
          <w:rFonts w:asciiTheme="minorHAnsi" w:hAnsiTheme="minorHAnsi" w:cstheme="minorHAnsi"/>
          <w:bCs/>
          <w:iCs/>
        </w:rPr>
        <w:t>d ___</w:t>
      </w:r>
      <w:r w:rsidR="009079FA">
        <w:rPr>
          <w:rFonts w:asciiTheme="minorHAnsi" w:hAnsiTheme="minorHAnsi" w:cstheme="minorHAnsi"/>
          <w:bCs/>
          <w:iCs/>
        </w:rPr>
        <w:t>,</w:t>
      </w:r>
      <w:r w:rsidR="00050244">
        <w:rPr>
          <w:rFonts w:asciiTheme="minorHAnsi" w:hAnsiTheme="minorHAnsi" w:cstheme="minorHAnsi"/>
          <w:bCs/>
          <w:iCs/>
        </w:rPr>
        <w:t xml:space="preserve"> 530 P.3d 852 (</w:t>
      </w:r>
      <w:r w:rsidRPr="001547AE">
        <w:rPr>
          <w:rFonts w:asciiTheme="minorHAnsi" w:hAnsiTheme="minorHAnsi" w:cstheme="minorHAnsi"/>
          <w:bCs/>
          <w:iCs/>
        </w:rPr>
        <w:t>2024)</w:t>
      </w:r>
      <w:r w:rsidR="0059196A" w:rsidRPr="001547AE">
        <w:rPr>
          <w:rFonts w:asciiTheme="minorHAnsi" w:hAnsiTheme="minorHAnsi" w:cstheme="minorHAnsi"/>
          <w:bCs/>
          <w:iCs/>
        </w:rPr>
        <w:t xml:space="preserve"> </w:t>
      </w:r>
    </w:p>
    <w:p w14:paraId="43F12A91" w14:textId="4B80C2E7" w:rsidR="001C27D9" w:rsidRPr="001547AE" w:rsidRDefault="00EE04F7" w:rsidP="0019174D">
      <w:pPr>
        <w:rPr>
          <w:rFonts w:asciiTheme="minorHAnsi" w:hAnsiTheme="minorHAnsi" w:cstheme="minorHAnsi"/>
          <w:bCs/>
          <w:iCs/>
        </w:rPr>
      </w:pPr>
      <w:r w:rsidRPr="001547AE">
        <w:rPr>
          <w:rFonts w:asciiTheme="minorHAnsi" w:hAnsiTheme="minorHAnsi" w:cstheme="minorHAnsi"/>
          <w:bCs/>
          <w:iCs/>
        </w:rPr>
        <w:t>In 2021, f</w:t>
      </w:r>
      <w:r w:rsidR="001C27D9" w:rsidRPr="001547AE">
        <w:rPr>
          <w:rFonts w:asciiTheme="minorHAnsi" w:hAnsiTheme="minorHAnsi" w:cstheme="minorHAnsi"/>
          <w:bCs/>
          <w:iCs/>
        </w:rPr>
        <w:t xml:space="preserve">ollowing </w:t>
      </w:r>
      <w:r w:rsidR="001C27D9" w:rsidRPr="001547AE">
        <w:rPr>
          <w:rFonts w:asciiTheme="minorHAnsi" w:hAnsiTheme="minorHAnsi" w:cstheme="minorHAnsi"/>
          <w:bCs/>
          <w:i/>
        </w:rPr>
        <w:t>State v. Blake</w:t>
      </w:r>
      <w:r w:rsidR="001C27D9" w:rsidRPr="001547AE">
        <w:rPr>
          <w:rFonts w:asciiTheme="minorHAnsi" w:hAnsiTheme="minorHAnsi" w:cstheme="minorHAnsi"/>
          <w:bCs/>
          <w:iCs/>
        </w:rPr>
        <w:t xml:space="preserve">, Anthony Vasquez sought resentencing in a 2013 murder case. The State conceded Vasquez was entitled to resentencing but disagreed with Vasquez about </w:t>
      </w:r>
      <w:r w:rsidR="00EA5F81" w:rsidRPr="001547AE">
        <w:rPr>
          <w:rFonts w:asciiTheme="minorHAnsi" w:hAnsiTheme="minorHAnsi" w:cstheme="minorHAnsi"/>
          <w:bCs/>
          <w:iCs/>
        </w:rPr>
        <w:t>the extent of the re</w:t>
      </w:r>
      <w:r w:rsidR="001C27D9" w:rsidRPr="001547AE">
        <w:rPr>
          <w:rFonts w:asciiTheme="minorHAnsi" w:hAnsiTheme="minorHAnsi" w:cstheme="minorHAnsi"/>
          <w:bCs/>
          <w:iCs/>
        </w:rPr>
        <w:t>sentenc</w:t>
      </w:r>
      <w:r w:rsidR="00EA5F81" w:rsidRPr="001547AE">
        <w:rPr>
          <w:rFonts w:asciiTheme="minorHAnsi" w:hAnsiTheme="minorHAnsi" w:cstheme="minorHAnsi"/>
          <w:bCs/>
          <w:iCs/>
        </w:rPr>
        <w:t>ing hearing</w:t>
      </w:r>
      <w:r w:rsidR="001C27D9" w:rsidRPr="001547AE">
        <w:rPr>
          <w:rFonts w:asciiTheme="minorHAnsi" w:hAnsiTheme="minorHAnsi" w:cstheme="minorHAnsi"/>
          <w:bCs/>
          <w:iCs/>
        </w:rPr>
        <w:t xml:space="preserve">. </w:t>
      </w:r>
      <w:r w:rsidR="00771715" w:rsidRPr="001547AE">
        <w:rPr>
          <w:rFonts w:asciiTheme="minorHAnsi" w:hAnsiTheme="minorHAnsi" w:cstheme="minorHAnsi"/>
          <w:bCs/>
          <w:iCs/>
        </w:rPr>
        <w:t>At the resentencing hearing, the trial court reduced the original sentence.</w:t>
      </w:r>
      <w:r w:rsidR="00EA5F81" w:rsidRPr="001547AE">
        <w:rPr>
          <w:rFonts w:asciiTheme="minorHAnsi" w:hAnsiTheme="minorHAnsi" w:cstheme="minorHAnsi"/>
          <w:bCs/>
          <w:iCs/>
        </w:rPr>
        <w:t xml:space="preserve"> The State appealed arguing that the resentencing hearing should be a limited or narrow resentencing.  </w:t>
      </w:r>
    </w:p>
    <w:p w14:paraId="089F79E9" w14:textId="77777777" w:rsidR="001C27D9" w:rsidRPr="001547AE" w:rsidRDefault="001C27D9" w:rsidP="0019174D">
      <w:pPr>
        <w:rPr>
          <w:rFonts w:asciiTheme="minorHAnsi" w:hAnsiTheme="minorHAnsi" w:cstheme="minorHAnsi"/>
          <w:bCs/>
          <w:iCs/>
        </w:rPr>
      </w:pPr>
    </w:p>
    <w:p w14:paraId="5728C93E" w14:textId="74FF1805" w:rsidR="001C27D9" w:rsidRPr="001547AE" w:rsidRDefault="001C27D9" w:rsidP="0019174D">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xml:space="preserve">, </w:t>
      </w:r>
      <w:r w:rsidR="00771715" w:rsidRPr="001547AE">
        <w:rPr>
          <w:rFonts w:asciiTheme="minorHAnsi" w:hAnsiTheme="minorHAnsi" w:cstheme="minorHAnsi"/>
          <w:bCs/>
          <w:iCs/>
        </w:rPr>
        <w:t>at resentencing, the trial court has the same discretion it has at any sentencing</w:t>
      </w:r>
      <w:r w:rsidR="00EA5F81" w:rsidRPr="001547AE">
        <w:rPr>
          <w:rFonts w:asciiTheme="minorHAnsi" w:hAnsiTheme="minorHAnsi" w:cstheme="minorHAnsi"/>
          <w:bCs/>
          <w:iCs/>
        </w:rPr>
        <w:t xml:space="preserve"> hearing. </w:t>
      </w:r>
      <w:r w:rsidR="00771715" w:rsidRPr="001547AE">
        <w:rPr>
          <w:rFonts w:asciiTheme="minorHAnsi" w:hAnsiTheme="minorHAnsi" w:cstheme="minorHAnsi"/>
          <w:bCs/>
          <w:iCs/>
        </w:rPr>
        <w:t xml:space="preserve"> </w:t>
      </w:r>
    </w:p>
    <w:p w14:paraId="1BE88827" w14:textId="77777777" w:rsidR="001C27D9" w:rsidRPr="001547AE" w:rsidRDefault="001C27D9" w:rsidP="0019174D">
      <w:pPr>
        <w:rPr>
          <w:rFonts w:asciiTheme="minorHAnsi" w:hAnsiTheme="minorHAnsi" w:cstheme="minorHAnsi"/>
          <w:bCs/>
          <w:iCs/>
        </w:rPr>
      </w:pPr>
    </w:p>
    <w:p w14:paraId="10BA3EE3" w14:textId="5D7EA462" w:rsidR="002172D9" w:rsidRPr="001547AE" w:rsidRDefault="001162C6" w:rsidP="0019174D">
      <w:pPr>
        <w:rPr>
          <w:rFonts w:asciiTheme="minorHAnsi" w:hAnsiTheme="minorHAnsi" w:cstheme="minorHAnsi"/>
          <w:b/>
          <w:iCs/>
        </w:rPr>
      </w:pPr>
      <w:r w:rsidRPr="001547AE">
        <w:rPr>
          <w:rFonts w:asciiTheme="minorHAnsi" w:hAnsiTheme="minorHAnsi" w:cstheme="minorHAnsi"/>
          <w:b/>
          <w:iCs/>
        </w:rPr>
        <w:t>Youth in Adult Court/Plea Bargain</w:t>
      </w:r>
      <w:r w:rsidR="002172D9" w:rsidRPr="001547AE">
        <w:rPr>
          <w:rFonts w:asciiTheme="minorHAnsi" w:hAnsiTheme="minorHAnsi" w:cstheme="minorHAnsi"/>
          <w:b/>
          <w:iCs/>
        </w:rPr>
        <w:t>s</w:t>
      </w:r>
      <w:r w:rsidRPr="001547AE">
        <w:rPr>
          <w:rFonts w:asciiTheme="minorHAnsi" w:hAnsiTheme="minorHAnsi" w:cstheme="minorHAnsi"/>
          <w:b/>
          <w:iCs/>
        </w:rPr>
        <w:t xml:space="preserve">: </w:t>
      </w:r>
      <w:r w:rsidR="002172D9" w:rsidRPr="001547AE">
        <w:rPr>
          <w:rFonts w:asciiTheme="minorHAnsi" w:hAnsiTheme="minorHAnsi" w:cstheme="minorHAnsi"/>
          <w:b/>
          <w:iCs/>
        </w:rPr>
        <w:t>Trial court did not err when it imposed</w:t>
      </w:r>
      <w:r w:rsidR="00711C33" w:rsidRPr="001547AE">
        <w:rPr>
          <w:rFonts w:asciiTheme="minorHAnsi" w:hAnsiTheme="minorHAnsi" w:cstheme="minorHAnsi"/>
          <w:b/>
          <w:iCs/>
        </w:rPr>
        <w:t xml:space="preserve"> the agreed recommendation for sentence without considering the mitigating qualities of youth.</w:t>
      </w:r>
    </w:p>
    <w:p w14:paraId="2D015302" w14:textId="77777777" w:rsidR="002172D9" w:rsidRPr="001547AE" w:rsidRDefault="002172D9" w:rsidP="0019174D">
      <w:pPr>
        <w:rPr>
          <w:rFonts w:asciiTheme="minorHAnsi" w:hAnsiTheme="minorHAnsi" w:cstheme="minorHAnsi"/>
          <w:b/>
          <w:iCs/>
        </w:rPr>
      </w:pPr>
    </w:p>
    <w:p w14:paraId="547847D9" w14:textId="0FBE406D" w:rsidR="00CF47A4" w:rsidRPr="001547AE" w:rsidRDefault="002E6661" w:rsidP="002172D9">
      <w:pPr>
        <w:pStyle w:val="ListParagraph"/>
        <w:numPr>
          <w:ilvl w:val="0"/>
          <w:numId w:val="3"/>
        </w:numPr>
        <w:rPr>
          <w:rFonts w:asciiTheme="minorHAnsi" w:hAnsiTheme="minorHAnsi" w:cstheme="minorHAnsi"/>
          <w:b/>
          <w:iCs/>
        </w:rPr>
      </w:pPr>
      <w:r w:rsidRPr="001547AE">
        <w:rPr>
          <w:rFonts w:asciiTheme="minorHAnsi" w:hAnsiTheme="minorHAnsi" w:cstheme="minorHAnsi"/>
          <w:b/>
          <w:iCs/>
        </w:rPr>
        <w:t xml:space="preserve">Resentencing pursuant to </w:t>
      </w:r>
      <w:r w:rsidRPr="001547AE">
        <w:rPr>
          <w:rFonts w:asciiTheme="minorHAnsi" w:hAnsiTheme="minorHAnsi" w:cstheme="minorHAnsi"/>
          <w:b/>
          <w:i/>
        </w:rPr>
        <w:t>Houston-Sconiers</w:t>
      </w:r>
      <w:r w:rsidRPr="001547AE">
        <w:rPr>
          <w:rFonts w:asciiTheme="minorHAnsi" w:hAnsiTheme="minorHAnsi" w:cstheme="minorHAnsi"/>
          <w:b/>
          <w:iCs/>
        </w:rPr>
        <w:t xml:space="preserve"> is not required where the defendant</w:t>
      </w:r>
      <w:r w:rsidR="002E3BDC" w:rsidRPr="001547AE">
        <w:rPr>
          <w:rFonts w:asciiTheme="minorHAnsi" w:hAnsiTheme="minorHAnsi" w:cstheme="minorHAnsi"/>
          <w:b/>
          <w:iCs/>
        </w:rPr>
        <w:t>, who was under 18 at time of offense,</w:t>
      </w:r>
      <w:r w:rsidRPr="001547AE">
        <w:rPr>
          <w:rFonts w:asciiTheme="minorHAnsi" w:hAnsiTheme="minorHAnsi" w:cstheme="minorHAnsi"/>
          <w:b/>
          <w:iCs/>
        </w:rPr>
        <w:t xml:space="preserve"> entered into a plea agreement and the court followed the joint recommendation for sentence.</w:t>
      </w:r>
    </w:p>
    <w:p w14:paraId="7D8A0649" w14:textId="77777777" w:rsidR="002172D9" w:rsidRPr="001547AE" w:rsidRDefault="002172D9" w:rsidP="0019174D">
      <w:pPr>
        <w:rPr>
          <w:rFonts w:asciiTheme="minorHAnsi" w:hAnsiTheme="minorHAnsi" w:cstheme="minorHAnsi"/>
          <w:b/>
          <w:iCs/>
        </w:rPr>
      </w:pPr>
    </w:p>
    <w:p w14:paraId="73A3413A" w14:textId="23F76C7F" w:rsidR="002172D9" w:rsidRPr="001547AE" w:rsidRDefault="002172D9" w:rsidP="002172D9">
      <w:pPr>
        <w:pStyle w:val="ListParagraph"/>
        <w:numPr>
          <w:ilvl w:val="0"/>
          <w:numId w:val="3"/>
        </w:numPr>
        <w:rPr>
          <w:rFonts w:asciiTheme="minorHAnsi" w:hAnsiTheme="minorHAnsi" w:cstheme="minorHAnsi"/>
          <w:b/>
          <w:iCs/>
        </w:rPr>
      </w:pPr>
      <w:r w:rsidRPr="001547AE">
        <w:rPr>
          <w:rFonts w:asciiTheme="minorHAnsi" w:hAnsiTheme="minorHAnsi" w:cstheme="minorHAnsi"/>
          <w:b/>
          <w:iCs/>
        </w:rPr>
        <w:t xml:space="preserve">When a plea agreement requires the defendant not to recommend a lesser sentence, the defendant may present mitigating evidence only if asked by the court to do so. </w:t>
      </w:r>
    </w:p>
    <w:p w14:paraId="2C01DEF2" w14:textId="77777777" w:rsidR="002172D9" w:rsidRPr="001547AE" w:rsidRDefault="002172D9" w:rsidP="0019174D">
      <w:pPr>
        <w:rPr>
          <w:rFonts w:asciiTheme="minorHAnsi" w:hAnsiTheme="minorHAnsi" w:cstheme="minorHAnsi"/>
          <w:b/>
          <w:iCs/>
        </w:rPr>
      </w:pPr>
    </w:p>
    <w:p w14:paraId="58DF2CC3" w14:textId="3174F8B0" w:rsidR="001162C6" w:rsidRPr="001547AE" w:rsidRDefault="002172D9" w:rsidP="002172D9">
      <w:pPr>
        <w:pStyle w:val="ListParagraph"/>
        <w:numPr>
          <w:ilvl w:val="0"/>
          <w:numId w:val="3"/>
        </w:numPr>
        <w:rPr>
          <w:rFonts w:asciiTheme="minorHAnsi" w:hAnsiTheme="minorHAnsi" w:cstheme="minorHAnsi"/>
          <w:b/>
          <w:iCs/>
        </w:rPr>
      </w:pPr>
      <w:r w:rsidRPr="001547AE">
        <w:rPr>
          <w:rFonts w:asciiTheme="minorHAnsi" w:hAnsiTheme="minorHAnsi" w:cstheme="minorHAnsi"/>
          <w:b/>
          <w:iCs/>
        </w:rPr>
        <w:t>When the trial court does not accept a plea agreement and intends to impose a sentence other than the joint recommendation, the court m</w:t>
      </w:r>
      <w:r w:rsidR="00711C33" w:rsidRPr="001547AE">
        <w:rPr>
          <w:rFonts w:asciiTheme="minorHAnsi" w:hAnsiTheme="minorHAnsi" w:cstheme="minorHAnsi"/>
          <w:b/>
          <w:iCs/>
        </w:rPr>
        <w:t>ust m</w:t>
      </w:r>
      <w:r w:rsidRPr="001547AE">
        <w:rPr>
          <w:rFonts w:asciiTheme="minorHAnsi" w:hAnsiTheme="minorHAnsi" w:cstheme="minorHAnsi"/>
          <w:b/>
          <w:iCs/>
        </w:rPr>
        <w:t xml:space="preserve">eaningfully consider mitigating evidence of youth under </w:t>
      </w:r>
      <w:r w:rsidRPr="001547AE">
        <w:rPr>
          <w:rFonts w:asciiTheme="minorHAnsi" w:hAnsiTheme="minorHAnsi" w:cstheme="minorHAnsi"/>
          <w:b/>
          <w:i/>
        </w:rPr>
        <w:t>Houston-</w:t>
      </w:r>
      <w:proofErr w:type="gramStart"/>
      <w:r w:rsidRPr="001547AE">
        <w:rPr>
          <w:rFonts w:asciiTheme="minorHAnsi" w:hAnsiTheme="minorHAnsi" w:cstheme="minorHAnsi"/>
          <w:b/>
          <w:i/>
        </w:rPr>
        <w:t>Sconiers</w:t>
      </w:r>
      <w:proofErr w:type="gramEnd"/>
      <w:r w:rsidRPr="001547AE">
        <w:rPr>
          <w:rFonts w:asciiTheme="minorHAnsi" w:hAnsiTheme="minorHAnsi" w:cstheme="minorHAnsi"/>
          <w:b/>
          <w:iCs/>
        </w:rPr>
        <w:t xml:space="preserve"> and the parties must candidly answer the court’s questions. </w:t>
      </w:r>
    </w:p>
    <w:p w14:paraId="15DE6465" w14:textId="77777777" w:rsidR="002172D9" w:rsidRPr="001547AE" w:rsidRDefault="002172D9" w:rsidP="0019174D">
      <w:pPr>
        <w:rPr>
          <w:rFonts w:asciiTheme="minorHAnsi" w:hAnsiTheme="minorHAnsi" w:cstheme="minorHAnsi"/>
          <w:b/>
          <w:iCs/>
        </w:rPr>
      </w:pPr>
    </w:p>
    <w:p w14:paraId="6355EABF" w14:textId="7727523C" w:rsidR="0019174D" w:rsidRPr="001547AE" w:rsidRDefault="006A79F8" w:rsidP="0019174D">
      <w:pPr>
        <w:rPr>
          <w:rFonts w:asciiTheme="minorHAnsi" w:hAnsiTheme="minorHAnsi" w:cstheme="minorHAnsi"/>
          <w:bCs/>
          <w:iCs/>
        </w:rPr>
      </w:pPr>
      <w:r w:rsidRPr="009079FA">
        <w:rPr>
          <w:rFonts w:asciiTheme="minorHAnsi" w:hAnsiTheme="minorHAnsi" w:cstheme="minorHAnsi"/>
          <w:bCs/>
          <w:i/>
        </w:rPr>
        <w:t>State v. Harris</w:t>
      </w:r>
      <w:r w:rsidRPr="001547AE">
        <w:rPr>
          <w:rFonts w:asciiTheme="minorHAnsi" w:hAnsiTheme="minorHAnsi" w:cstheme="minorHAnsi"/>
          <w:bCs/>
          <w:iCs/>
        </w:rPr>
        <w:t xml:space="preserve">, </w:t>
      </w:r>
      <w:bookmarkStart w:id="0" w:name="_Hlk185852540"/>
      <w:r w:rsidR="0019174D" w:rsidRPr="001547AE">
        <w:rPr>
          <w:rFonts w:asciiTheme="minorHAnsi" w:hAnsiTheme="minorHAnsi" w:cstheme="minorHAnsi"/>
          <w:bCs/>
          <w:iCs/>
        </w:rPr>
        <w:t>___ Wn.</w:t>
      </w:r>
      <w:r w:rsidR="009079FA">
        <w:rPr>
          <w:rFonts w:asciiTheme="minorHAnsi" w:hAnsiTheme="minorHAnsi" w:cstheme="minorHAnsi"/>
          <w:bCs/>
          <w:iCs/>
        </w:rPr>
        <w:t>3</w:t>
      </w:r>
      <w:r w:rsidR="0019174D" w:rsidRPr="001547AE">
        <w:rPr>
          <w:rFonts w:asciiTheme="minorHAnsi" w:hAnsiTheme="minorHAnsi" w:cstheme="minorHAnsi"/>
          <w:bCs/>
          <w:iCs/>
        </w:rPr>
        <w:t>d __</w:t>
      </w:r>
      <w:r w:rsidR="009079FA" w:rsidRPr="001547AE">
        <w:rPr>
          <w:rFonts w:asciiTheme="minorHAnsi" w:hAnsiTheme="minorHAnsi" w:cstheme="minorHAnsi"/>
          <w:bCs/>
          <w:iCs/>
        </w:rPr>
        <w:t>_,</w:t>
      </w:r>
      <w:r w:rsidR="002A18EE" w:rsidRPr="001547AE">
        <w:rPr>
          <w:rFonts w:asciiTheme="minorHAnsi" w:hAnsiTheme="minorHAnsi" w:cstheme="minorHAnsi"/>
          <w:bCs/>
          <w:iCs/>
        </w:rPr>
        <w:t xml:space="preserve"> </w:t>
      </w:r>
      <w:r w:rsidR="00FC2F03" w:rsidRPr="001547AE">
        <w:rPr>
          <w:rFonts w:asciiTheme="minorHAnsi" w:hAnsiTheme="minorHAnsi" w:cstheme="minorHAnsi"/>
          <w:bCs/>
          <w:iCs/>
        </w:rPr>
        <w:t>559</w:t>
      </w:r>
      <w:r w:rsidR="002A18EE" w:rsidRPr="001547AE">
        <w:rPr>
          <w:rFonts w:asciiTheme="minorHAnsi" w:hAnsiTheme="minorHAnsi" w:cstheme="minorHAnsi"/>
          <w:bCs/>
          <w:iCs/>
        </w:rPr>
        <w:t xml:space="preserve"> P. 3d </w:t>
      </w:r>
      <w:r w:rsidR="00FC2F03" w:rsidRPr="001547AE">
        <w:rPr>
          <w:rFonts w:asciiTheme="minorHAnsi" w:hAnsiTheme="minorHAnsi" w:cstheme="minorHAnsi"/>
          <w:bCs/>
          <w:iCs/>
        </w:rPr>
        <w:t>499,</w:t>
      </w:r>
      <w:r w:rsidR="002A18EE" w:rsidRPr="001547AE">
        <w:rPr>
          <w:rFonts w:asciiTheme="minorHAnsi" w:hAnsiTheme="minorHAnsi" w:cstheme="minorHAnsi"/>
          <w:bCs/>
          <w:iCs/>
        </w:rPr>
        <w:t xml:space="preserve"> </w:t>
      </w:r>
      <w:r w:rsidR="0019174D" w:rsidRPr="001547AE">
        <w:rPr>
          <w:rFonts w:asciiTheme="minorHAnsi" w:hAnsiTheme="minorHAnsi" w:cstheme="minorHAnsi"/>
          <w:bCs/>
          <w:iCs/>
        </w:rPr>
        <w:t>(</w:t>
      </w:r>
      <w:r w:rsidRPr="001547AE">
        <w:rPr>
          <w:rFonts w:asciiTheme="minorHAnsi" w:hAnsiTheme="minorHAnsi" w:cstheme="minorHAnsi"/>
          <w:bCs/>
          <w:iCs/>
        </w:rPr>
        <w:t>Nov. 27, 2024</w:t>
      </w:r>
      <w:r w:rsidR="0019174D" w:rsidRPr="001547AE">
        <w:rPr>
          <w:rFonts w:asciiTheme="minorHAnsi" w:hAnsiTheme="minorHAnsi" w:cstheme="minorHAnsi"/>
          <w:bCs/>
          <w:iCs/>
        </w:rPr>
        <w:t>)</w:t>
      </w:r>
      <w:bookmarkEnd w:id="0"/>
    </w:p>
    <w:p w14:paraId="3D49DE48" w14:textId="77777777" w:rsidR="006A79F8" w:rsidRPr="001547AE" w:rsidRDefault="006A79F8" w:rsidP="0019174D">
      <w:pPr>
        <w:rPr>
          <w:rFonts w:asciiTheme="minorHAnsi" w:hAnsiTheme="minorHAnsi" w:cstheme="minorHAnsi"/>
          <w:bCs/>
          <w:iCs/>
        </w:rPr>
      </w:pPr>
    </w:p>
    <w:p w14:paraId="078BCF84" w14:textId="55E7CCD0" w:rsidR="002172D9" w:rsidRPr="001547AE" w:rsidRDefault="006A79F8" w:rsidP="003152B9">
      <w:pPr>
        <w:rPr>
          <w:rFonts w:asciiTheme="minorHAnsi" w:hAnsiTheme="minorHAnsi" w:cstheme="minorHAnsi"/>
          <w:bCs/>
          <w:iCs/>
        </w:rPr>
      </w:pPr>
      <w:r w:rsidRPr="001547AE">
        <w:rPr>
          <w:rFonts w:asciiTheme="minorHAnsi" w:hAnsiTheme="minorHAnsi" w:cstheme="minorHAnsi"/>
          <w:bCs/>
          <w:iCs/>
        </w:rPr>
        <w:t>In 2011, the State charged Mr. Harris</w:t>
      </w:r>
      <w:r w:rsidR="001410D9" w:rsidRPr="001547AE">
        <w:rPr>
          <w:rFonts w:asciiTheme="minorHAnsi" w:hAnsiTheme="minorHAnsi" w:cstheme="minorHAnsi"/>
          <w:bCs/>
          <w:iCs/>
        </w:rPr>
        <w:t xml:space="preserve"> </w:t>
      </w:r>
      <w:r w:rsidRPr="001547AE">
        <w:rPr>
          <w:rFonts w:asciiTheme="minorHAnsi" w:hAnsiTheme="minorHAnsi" w:cstheme="minorHAnsi"/>
          <w:bCs/>
          <w:iCs/>
        </w:rPr>
        <w:t xml:space="preserve">with </w:t>
      </w:r>
      <w:r w:rsidR="00CF47A4" w:rsidRPr="001547AE">
        <w:rPr>
          <w:rFonts w:asciiTheme="minorHAnsi" w:hAnsiTheme="minorHAnsi" w:cstheme="minorHAnsi"/>
          <w:bCs/>
          <w:iCs/>
        </w:rPr>
        <w:t xml:space="preserve">first degree </w:t>
      </w:r>
      <w:r w:rsidRPr="001547AE">
        <w:rPr>
          <w:rFonts w:asciiTheme="minorHAnsi" w:hAnsiTheme="minorHAnsi" w:cstheme="minorHAnsi"/>
          <w:bCs/>
          <w:iCs/>
        </w:rPr>
        <w:t xml:space="preserve">murder </w:t>
      </w:r>
      <w:r w:rsidR="00CF47A4" w:rsidRPr="001547AE">
        <w:rPr>
          <w:rFonts w:asciiTheme="minorHAnsi" w:hAnsiTheme="minorHAnsi" w:cstheme="minorHAnsi"/>
          <w:bCs/>
          <w:iCs/>
        </w:rPr>
        <w:t xml:space="preserve">with </w:t>
      </w:r>
      <w:r w:rsidRPr="001547AE">
        <w:rPr>
          <w:rFonts w:asciiTheme="minorHAnsi" w:hAnsiTheme="minorHAnsi" w:cstheme="minorHAnsi"/>
          <w:bCs/>
          <w:iCs/>
        </w:rPr>
        <w:t xml:space="preserve">a deadly weapon </w:t>
      </w:r>
      <w:r w:rsidR="00CF47A4" w:rsidRPr="001547AE">
        <w:rPr>
          <w:rFonts w:asciiTheme="minorHAnsi" w:hAnsiTheme="minorHAnsi" w:cstheme="minorHAnsi"/>
          <w:bCs/>
          <w:iCs/>
        </w:rPr>
        <w:t xml:space="preserve">enhancement </w:t>
      </w:r>
      <w:r w:rsidRPr="001547AE">
        <w:rPr>
          <w:rFonts w:asciiTheme="minorHAnsi" w:hAnsiTheme="minorHAnsi" w:cstheme="minorHAnsi"/>
          <w:bCs/>
          <w:iCs/>
        </w:rPr>
        <w:t>for fatally stabbing an acquaintance</w:t>
      </w:r>
      <w:r w:rsidR="001162C6" w:rsidRPr="001547AE">
        <w:rPr>
          <w:rFonts w:asciiTheme="minorHAnsi" w:hAnsiTheme="minorHAnsi" w:cstheme="minorHAnsi"/>
          <w:bCs/>
          <w:iCs/>
        </w:rPr>
        <w:t>. He was 17 years old at the time of the offense</w:t>
      </w:r>
      <w:r w:rsidR="001410D9" w:rsidRPr="001547AE">
        <w:rPr>
          <w:rFonts w:asciiTheme="minorHAnsi" w:hAnsiTheme="minorHAnsi" w:cstheme="minorHAnsi"/>
          <w:bCs/>
          <w:iCs/>
        </w:rPr>
        <w:t xml:space="preserve">. </w:t>
      </w:r>
      <w:r w:rsidR="002172D9" w:rsidRPr="001547AE">
        <w:rPr>
          <w:rFonts w:asciiTheme="minorHAnsi" w:hAnsiTheme="minorHAnsi" w:cstheme="minorHAnsi"/>
          <w:bCs/>
          <w:iCs/>
        </w:rPr>
        <w:t xml:space="preserve">Mr. Harris faced a standard range of 240 to 320 months with additional </w:t>
      </w:r>
      <w:r w:rsidR="002172D9" w:rsidRPr="001547AE">
        <w:rPr>
          <w:rFonts w:asciiTheme="minorHAnsi" w:hAnsiTheme="minorHAnsi" w:cstheme="minorHAnsi"/>
          <w:bCs/>
          <w:iCs/>
        </w:rPr>
        <w:lastRenderedPageBreak/>
        <w:t xml:space="preserve">time for the weapon enhancement.  Following plea negotiations, </w:t>
      </w:r>
      <w:r w:rsidR="001410D9" w:rsidRPr="001547AE">
        <w:rPr>
          <w:rFonts w:asciiTheme="minorHAnsi" w:hAnsiTheme="minorHAnsi" w:cstheme="minorHAnsi"/>
          <w:bCs/>
          <w:iCs/>
        </w:rPr>
        <w:t xml:space="preserve">Mr. Harris </w:t>
      </w:r>
      <w:r w:rsidRPr="001547AE">
        <w:rPr>
          <w:rFonts w:asciiTheme="minorHAnsi" w:hAnsiTheme="minorHAnsi" w:cstheme="minorHAnsi"/>
          <w:bCs/>
          <w:iCs/>
        </w:rPr>
        <w:t xml:space="preserve">pleaded guilty to </w:t>
      </w:r>
      <w:r w:rsidR="001162C6" w:rsidRPr="001547AE">
        <w:rPr>
          <w:rFonts w:asciiTheme="minorHAnsi" w:hAnsiTheme="minorHAnsi" w:cstheme="minorHAnsi"/>
          <w:bCs/>
          <w:iCs/>
        </w:rPr>
        <w:t>second-degree</w:t>
      </w:r>
      <w:r w:rsidRPr="001547AE">
        <w:rPr>
          <w:rFonts w:asciiTheme="minorHAnsi" w:hAnsiTheme="minorHAnsi" w:cstheme="minorHAnsi"/>
          <w:bCs/>
          <w:iCs/>
        </w:rPr>
        <w:t xml:space="preserve"> murder</w:t>
      </w:r>
      <w:r w:rsidR="003C3648" w:rsidRPr="001547AE">
        <w:rPr>
          <w:rFonts w:asciiTheme="minorHAnsi" w:hAnsiTheme="minorHAnsi" w:cstheme="minorHAnsi"/>
          <w:bCs/>
          <w:iCs/>
        </w:rPr>
        <w:t xml:space="preserve"> with a deadly weapon </w:t>
      </w:r>
      <w:r w:rsidR="00925CC3" w:rsidRPr="001547AE">
        <w:rPr>
          <w:rFonts w:asciiTheme="minorHAnsi" w:hAnsiTheme="minorHAnsi" w:cstheme="minorHAnsi"/>
          <w:bCs/>
          <w:iCs/>
        </w:rPr>
        <w:t>enhancement</w:t>
      </w:r>
      <w:r w:rsidR="002172D9" w:rsidRPr="001547AE">
        <w:rPr>
          <w:rFonts w:asciiTheme="minorHAnsi" w:hAnsiTheme="minorHAnsi" w:cstheme="minorHAnsi"/>
          <w:bCs/>
          <w:iCs/>
        </w:rPr>
        <w:t>,</w:t>
      </w:r>
      <w:r w:rsidR="003C3648" w:rsidRPr="001547AE">
        <w:rPr>
          <w:rFonts w:asciiTheme="minorHAnsi" w:hAnsiTheme="minorHAnsi" w:cstheme="minorHAnsi"/>
          <w:bCs/>
          <w:iCs/>
        </w:rPr>
        <w:t xml:space="preserve"> </w:t>
      </w:r>
      <w:r w:rsidR="003E63DA" w:rsidRPr="001547AE">
        <w:rPr>
          <w:rFonts w:asciiTheme="minorHAnsi" w:hAnsiTheme="minorHAnsi" w:cstheme="minorHAnsi"/>
          <w:bCs/>
          <w:iCs/>
        </w:rPr>
        <w:t>first-degree</w:t>
      </w:r>
      <w:r w:rsidR="003C3648" w:rsidRPr="001547AE">
        <w:rPr>
          <w:rFonts w:asciiTheme="minorHAnsi" w:hAnsiTheme="minorHAnsi" w:cstheme="minorHAnsi"/>
          <w:bCs/>
          <w:iCs/>
        </w:rPr>
        <w:t xml:space="preserve"> robbery</w:t>
      </w:r>
      <w:r w:rsidR="002172D9" w:rsidRPr="001547AE">
        <w:rPr>
          <w:rFonts w:asciiTheme="minorHAnsi" w:hAnsiTheme="minorHAnsi" w:cstheme="minorHAnsi"/>
          <w:bCs/>
          <w:iCs/>
        </w:rPr>
        <w:t xml:space="preserve"> and with a </w:t>
      </w:r>
      <w:r w:rsidR="003C3648" w:rsidRPr="001547AE">
        <w:rPr>
          <w:rFonts w:asciiTheme="minorHAnsi" w:hAnsiTheme="minorHAnsi" w:cstheme="minorHAnsi"/>
          <w:bCs/>
          <w:iCs/>
        </w:rPr>
        <w:t>joint</w:t>
      </w:r>
      <w:r w:rsidR="003E63DA" w:rsidRPr="001547AE">
        <w:rPr>
          <w:rFonts w:asciiTheme="minorHAnsi" w:hAnsiTheme="minorHAnsi" w:cstheme="minorHAnsi"/>
          <w:bCs/>
          <w:iCs/>
        </w:rPr>
        <w:t xml:space="preserve"> sentence </w:t>
      </w:r>
      <w:r w:rsidR="003C3648" w:rsidRPr="001547AE">
        <w:rPr>
          <w:rFonts w:asciiTheme="minorHAnsi" w:hAnsiTheme="minorHAnsi" w:cstheme="minorHAnsi"/>
          <w:bCs/>
          <w:iCs/>
        </w:rPr>
        <w:t>recommend</w:t>
      </w:r>
      <w:r w:rsidR="003E63DA" w:rsidRPr="001547AE">
        <w:rPr>
          <w:rFonts w:asciiTheme="minorHAnsi" w:hAnsiTheme="minorHAnsi" w:cstheme="minorHAnsi"/>
          <w:bCs/>
          <w:iCs/>
        </w:rPr>
        <w:t xml:space="preserve">ation of </w:t>
      </w:r>
      <w:r w:rsidR="00CF47A4" w:rsidRPr="001547AE">
        <w:rPr>
          <w:rFonts w:asciiTheme="minorHAnsi" w:hAnsiTheme="minorHAnsi" w:cstheme="minorHAnsi"/>
          <w:bCs/>
          <w:iCs/>
        </w:rPr>
        <w:t>24</w:t>
      </w:r>
      <w:r w:rsidR="002172D9" w:rsidRPr="001547AE">
        <w:rPr>
          <w:rFonts w:asciiTheme="minorHAnsi" w:hAnsiTheme="minorHAnsi" w:cstheme="minorHAnsi"/>
          <w:bCs/>
          <w:iCs/>
        </w:rPr>
        <w:t>4</w:t>
      </w:r>
      <w:r w:rsidR="00CF47A4" w:rsidRPr="001547AE">
        <w:rPr>
          <w:rFonts w:asciiTheme="minorHAnsi" w:hAnsiTheme="minorHAnsi" w:cstheme="minorHAnsi"/>
          <w:bCs/>
          <w:iCs/>
        </w:rPr>
        <w:t xml:space="preserve"> months.</w:t>
      </w:r>
      <w:r w:rsidR="00C36A05" w:rsidRPr="001547AE">
        <w:rPr>
          <w:rFonts w:asciiTheme="minorHAnsi" w:hAnsiTheme="minorHAnsi" w:cstheme="minorHAnsi"/>
          <w:bCs/>
          <w:iCs/>
        </w:rPr>
        <w:t xml:space="preserve"> The court imposed the jointly recommended sentence.</w:t>
      </w:r>
      <w:r w:rsidR="00CF47A4" w:rsidRPr="001547AE">
        <w:rPr>
          <w:rFonts w:asciiTheme="minorHAnsi" w:hAnsiTheme="minorHAnsi" w:cstheme="minorHAnsi"/>
          <w:bCs/>
          <w:iCs/>
        </w:rPr>
        <w:t xml:space="preserve"> </w:t>
      </w:r>
    </w:p>
    <w:p w14:paraId="5B1B4248" w14:textId="77777777" w:rsidR="002172D9" w:rsidRPr="001547AE" w:rsidRDefault="002172D9" w:rsidP="003152B9">
      <w:pPr>
        <w:rPr>
          <w:rFonts w:asciiTheme="minorHAnsi" w:hAnsiTheme="minorHAnsi" w:cstheme="minorHAnsi"/>
          <w:bCs/>
          <w:iCs/>
        </w:rPr>
      </w:pPr>
    </w:p>
    <w:p w14:paraId="5354A73B" w14:textId="15EE9562" w:rsidR="001410D9" w:rsidRPr="001547AE" w:rsidRDefault="00CF47A4" w:rsidP="003152B9">
      <w:pPr>
        <w:rPr>
          <w:rFonts w:asciiTheme="minorHAnsi" w:hAnsiTheme="minorHAnsi" w:cstheme="minorHAnsi"/>
          <w:bCs/>
          <w:iCs/>
        </w:rPr>
      </w:pPr>
      <w:r w:rsidRPr="001547AE">
        <w:rPr>
          <w:rFonts w:asciiTheme="minorHAnsi" w:hAnsiTheme="minorHAnsi" w:cstheme="minorHAnsi"/>
          <w:bCs/>
          <w:iCs/>
        </w:rPr>
        <w:t xml:space="preserve">In 2020, </w:t>
      </w:r>
      <w:r w:rsidR="00D249ED" w:rsidRPr="001547AE">
        <w:rPr>
          <w:rFonts w:asciiTheme="minorHAnsi" w:hAnsiTheme="minorHAnsi" w:cstheme="minorHAnsi"/>
          <w:bCs/>
          <w:iCs/>
        </w:rPr>
        <w:t>Mr. Harris filed</w:t>
      </w:r>
      <w:r w:rsidRPr="001547AE">
        <w:rPr>
          <w:rFonts w:asciiTheme="minorHAnsi" w:hAnsiTheme="minorHAnsi" w:cstheme="minorHAnsi"/>
          <w:bCs/>
          <w:iCs/>
        </w:rPr>
        <w:t xml:space="preserve"> </w:t>
      </w:r>
      <w:r w:rsidR="00D249ED" w:rsidRPr="001547AE">
        <w:rPr>
          <w:rFonts w:asciiTheme="minorHAnsi" w:hAnsiTheme="minorHAnsi" w:cstheme="minorHAnsi"/>
          <w:bCs/>
          <w:iCs/>
        </w:rPr>
        <w:t xml:space="preserve">a </w:t>
      </w:r>
      <w:r w:rsidRPr="001547AE">
        <w:rPr>
          <w:rFonts w:asciiTheme="minorHAnsi" w:hAnsiTheme="minorHAnsi" w:cstheme="minorHAnsi"/>
          <w:bCs/>
          <w:iCs/>
        </w:rPr>
        <w:t xml:space="preserve">PRP seeking resentencing based on </w:t>
      </w:r>
      <w:r w:rsidRPr="001547AE">
        <w:rPr>
          <w:rFonts w:asciiTheme="minorHAnsi" w:hAnsiTheme="minorHAnsi" w:cstheme="minorHAnsi"/>
          <w:bCs/>
          <w:i/>
        </w:rPr>
        <w:t>State v. Houston-Sconiers</w:t>
      </w:r>
      <w:r w:rsidR="00D249ED" w:rsidRPr="001547AE">
        <w:rPr>
          <w:rFonts w:asciiTheme="minorHAnsi" w:hAnsiTheme="minorHAnsi" w:cstheme="minorHAnsi"/>
          <w:bCs/>
          <w:iCs/>
        </w:rPr>
        <w:t xml:space="preserve">, which the Court of Appeals dismissed </w:t>
      </w:r>
      <w:r w:rsidRPr="001547AE">
        <w:rPr>
          <w:rFonts w:asciiTheme="minorHAnsi" w:hAnsiTheme="minorHAnsi" w:cstheme="minorHAnsi"/>
          <w:bCs/>
          <w:iCs/>
        </w:rPr>
        <w:t xml:space="preserve">as frivolous. In May 2021, Mr. Harris filed a </w:t>
      </w:r>
      <w:r w:rsidR="004D4800" w:rsidRPr="001547AE">
        <w:rPr>
          <w:rFonts w:asciiTheme="minorHAnsi" w:hAnsiTheme="minorHAnsi" w:cstheme="minorHAnsi"/>
          <w:bCs/>
          <w:iCs/>
        </w:rPr>
        <w:t xml:space="preserve">late direct appeal (an </w:t>
      </w:r>
      <w:r w:rsidRPr="001547AE">
        <w:rPr>
          <w:rFonts w:asciiTheme="minorHAnsi" w:hAnsiTheme="minorHAnsi" w:cstheme="minorHAnsi"/>
          <w:bCs/>
          <w:iCs/>
        </w:rPr>
        <w:t xml:space="preserve">appeal and </w:t>
      </w:r>
      <w:r w:rsidR="004D4800" w:rsidRPr="001547AE">
        <w:rPr>
          <w:rFonts w:asciiTheme="minorHAnsi" w:hAnsiTheme="minorHAnsi" w:cstheme="minorHAnsi"/>
          <w:bCs/>
          <w:iCs/>
        </w:rPr>
        <w:t>with a motion for</w:t>
      </w:r>
      <w:r w:rsidRPr="001547AE">
        <w:rPr>
          <w:rFonts w:asciiTheme="minorHAnsi" w:hAnsiTheme="minorHAnsi" w:cstheme="minorHAnsi"/>
          <w:bCs/>
          <w:iCs/>
        </w:rPr>
        <w:t xml:space="preserve"> an extension of time under RAP 18.8(b)</w:t>
      </w:r>
      <w:r w:rsidR="001410D9" w:rsidRPr="001547AE">
        <w:rPr>
          <w:rFonts w:asciiTheme="minorHAnsi" w:hAnsiTheme="minorHAnsi" w:cstheme="minorHAnsi"/>
          <w:bCs/>
          <w:iCs/>
        </w:rPr>
        <w:t>,</w:t>
      </w:r>
      <w:r w:rsidRPr="001547AE">
        <w:rPr>
          <w:rFonts w:asciiTheme="minorHAnsi" w:hAnsiTheme="minorHAnsi" w:cstheme="minorHAnsi"/>
          <w:bCs/>
          <w:iCs/>
        </w:rPr>
        <w:t xml:space="preserve"> arguing he was not properly advised of his right to appeal</w:t>
      </w:r>
      <w:r w:rsidR="00EB0CA2" w:rsidRPr="001547AE">
        <w:rPr>
          <w:rFonts w:asciiTheme="minorHAnsi" w:hAnsiTheme="minorHAnsi" w:cstheme="minorHAnsi"/>
          <w:bCs/>
          <w:iCs/>
        </w:rPr>
        <w:t>)</w:t>
      </w:r>
      <w:r w:rsidRPr="001547AE">
        <w:rPr>
          <w:rFonts w:asciiTheme="minorHAnsi" w:hAnsiTheme="minorHAnsi" w:cstheme="minorHAnsi"/>
          <w:bCs/>
          <w:iCs/>
        </w:rPr>
        <w:t xml:space="preserve">. </w:t>
      </w:r>
      <w:r w:rsidR="004D4800" w:rsidRPr="001547AE">
        <w:rPr>
          <w:rFonts w:asciiTheme="minorHAnsi" w:hAnsiTheme="minorHAnsi" w:cstheme="minorHAnsi"/>
          <w:bCs/>
          <w:iCs/>
        </w:rPr>
        <w:t>The C</w:t>
      </w:r>
      <w:r w:rsidRPr="001547AE">
        <w:rPr>
          <w:rFonts w:asciiTheme="minorHAnsi" w:hAnsiTheme="minorHAnsi" w:cstheme="minorHAnsi"/>
          <w:bCs/>
          <w:iCs/>
        </w:rPr>
        <w:t xml:space="preserve">ourt </w:t>
      </w:r>
      <w:r w:rsidR="004D4800" w:rsidRPr="001547AE">
        <w:rPr>
          <w:rFonts w:asciiTheme="minorHAnsi" w:hAnsiTheme="minorHAnsi" w:cstheme="minorHAnsi"/>
          <w:bCs/>
          <w:iCs/>
        </w:rPr>
        <w:t xml:space="preserve">of Appeals </w:t>
      </w:r>
      <w:r w:rsidRPr="001547AE">
        <w:rPr>
          <w:rFonts w:asciiTheme="minorHAnsi" w:hAnsiTheme="minorHAnsi" w:cstheme="minorHAnsi"/>
          <w:bCs/>
          <w:iCs/>
        </w:rPr>
        <w:t>held that resentencing was not the appropriate remedy</w:t>
      </w:r>
      <w:r w:rsidR="00D249ED" w:rsidRPr="001547AE">
        <w:rPr>
          <w:rFonts w:asciiTheme="minorHAnsi" w:hAnsiTheme="minorHAnsi" w:cstheme="minorHAnsi"/>
          <w:bCs/>
          <w:iCs/>
        </w:rPr>
        <w:t xml:space="preserve"> and in</w:t>
      </w:r>
      <w:r w:rsidR="004D4800" w:rsidRPr="001547AE">
        <w:rPr>
          <w:rFonts w:asciiTheme="minorHAnsi" w:hAnsiTheme="minorHAnsi" w:cstheme="minorHAnsi"/>
          <w:bCs/>
          <w:iCs/>
        </w:rPr>
        <w:t>stead,</w:t>
      </w:r>
      <w:r w:rsidRPr="001547AE">
        <w:rPr>
          <w:rFonts w:asciiTheme="minorHAnsi" w:hAnsiTheme="minorHAnsi" w:cstheme="minorHAnsi"/>
          <w:bCs/>
          <w:iCs/>
        </w:rPr>
        <w:t xml:space="preserve"> Mr. Harris h</w:t>
      </w:r>
      <w:r w:rsidR="001410D9" w:rsidRPr="001547AE">
        <w:rPr>
          <w:rFonts w:asciiTheme="minorHAnsi" w:hAnsiTheme="minorHAnsi" w:cstheme="minorHAnsi"/>
          <w:bCs/>
          <w:iCs/>
        </w:rPr>
        <w:t>a</w:t>
      </w:r>
      <w:r w:rsidRPr="001547AE">
        <w:rPr>
          <w:rFonts w:asciiTheme="minorHAnsi" w:hAnsiTheme="minorHAnsi" w:cstheme="minorHAnsi"/>
          <w:bCs/>
          <w:iCs/>
        </w:rPr>
        <w:t>s the right to withdraw his plea.</w:t>
      </w:r>
      <w:r w:rsidR="001410D9" w:rsidRPr="001547AE">
        <w:rPr>
          <w:rFonts w:asciiTheme="minorHAnsi" w:hAnsiTheme="minorHAnsi" w:cstheme="minorHAnsi"/>
          <w:bCs/>
          <w:iCs/>
        </w:rPr>
        <w:t xml:space="preserve">  </w:t>
      </w:r>
      <w:r w:rsidR="004D4800" w:rsidRPr="001547AE">
        <w:rPr>
          <w:rFonts w:asciiTheme="minorHAnsi" w:hAnsiTheme="minorHAnsi" w:cstheme="minorHAnsi"/>
          <w:bCs/>
          <w:iCs/>
        </w:rPr>
        <w:t>Both parties appealed.</w:t>
      </w:r>
    </w:p>
    <w:p w14:paraId="2E6B6D56" w14:textId="77777777" w:rsidR="001410D9" w:rsidRPr="001547AE" w:rsidRDefault="001410D9" w:rsidP="003152B9">
      <w:pPr>
        <w:rPr>
          <w:rFonts w:asciiTheme="minorHAnsi" w:hAnsiTheme="minorHAnsi" w:cstheme="minorHAnsi"/>
          <w:bCs/>
          <w:iCs/>
        </w:rPr>
      </w:pPr>
    </w:p>
    <w:p w14:paraId="243087C9" w14:textId="365D5073" w:rsidR="0019174D" w:rsidRPr="001547AE" w:rsidRDefault="001410D9" w:rsidP="00A93265">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xml:space="preserve">, </w:t>
      </w:r>
      <w:r w:rsidRPr="001547AE">
        <w:rPr>
          <w:rFonts w:asciiTheme="minorHAnsi" w:hAnsiTheme="minorHAnsi" w:cstheme="minorHAnsi"/>
          <w:bCs/>
          <w:i/>
        </w:rPr>
        <w:t>State v. Houston-Sconiers</w:t>
      </w:r>
      <w:r w:rsidRPr="001547AE">
        <w:rPr>
          <w:rFonts w:asciiTheme="minorHAnsi" w:hAnsiTheme="minorHAnsi" w:cstheme="minorHAnsi"/>
          <w:bCs/>
          <w:iCs/>
        </w:rPr>
        <w:t xml:space="preserve"> announced a new rule of criminal procedure that applies retroactively to all cases pending on direct review or not yet final</w:t>
      </w:r>
      <w:r w:rsidR="006C0061" w:rsidRPr="001547AE">
        <w:rPr>
          <w:rFonts w:asciiTheme="minorHAnsi" w:hAnsiTheme="minorHAnsi" w:cstheme="minorHAnsi"/>
          <w:bCs/>
          <w:iCs/>
        </w:rPr>
        <w:t xml:space="preserve">, including </w:t>
      </w:r>
      <w:r w:rsidR="00967A8C" w:rsidRPr="001547AE">
        <w:rPr>
          <w:rFonts w:asciiTheme="minorHAnsi" w:hAnsiTheme="minorHAnsi" w:cstheme="minorHAnsi"/>
          <w:bCs/>
          <w:iCs/>
        </w:rPr>
        <w:t>Mr. Harris</w:t>
      </w:r>
      <w:r w:rsidR="006C0061" w:rsidRPr="001547AE">
        <w:rPr>
          <w:rFonts w:asciiTheme="minorHAnsi" w:hAnsiTheme="minorHAnsi" w:cstheme="minorHAnsi"/>
          <w:bCs/>
          <w:iCs/>
        </w:rPr>
        <w:t>’ case</w:t>
      </w:r>
      <w:r w:rsidR="00967A8C" w:rsidRPr="001547AE">
        <w:rPr>
          <w:rFonts w:asciiTheme="minorHAnsi" w:hAnsiTheme="minorHAnsi" w:cstheme="minorHAnsi"/>
          <w:bCs/>
          <w:iCs/>
        </w:rPr>
        <w:t xml:space="preserve"> because his case is on direct review</w:t>
      </w:r>
      <w:r w:rsidR="006C0061" w:rsidRPr="001547AE">
        <w:rPr>
          <w:rFonts w:asciiTheme="minorHAnsi" w:hAnsiTheme="minorHAnsi" w:cstheme="minorHAnsi"/>
          <w:bCs/>
          <w:iCs/>
        </w:rPr>
        <w:t xml:space="preserve">. </w:t>
      </w:r>
      <w:r w:rsidR="002E6661" w:rsidRPr="001547AE">
        <w:rPr>
          <w:rFonts w:asciiTheme="minorHAnsi" w:hAnsiTheme="minorHAnsi" w:cstheme="minorHAnsi"/>
          <w:bCs/>
          <w:iCs/>
        </w:rPr>
        <w:t>However, t</w:t>
      </w:r>
      <w:r w:rsidR="006C0061" w:rsidRPr="001547AE">
        <w:rPr>
          <w:rFonts w:asciiTheme="minorHAnsi" w:hAnsiTheme="minorHAnsi" w:cstheme="minorHAnsi"/>
          <w:bCs/>
          <w:iCs/>
        </w:rPr>
        <w:t>here is no</w:t>
      </w:r>
      <w:r w:rsidR="00967A8C" w:rsidRPr="001547AE">
        <w:rPr>
          <w:rFonts w:asciiTheme="minorHAnsi" w:hAnsiTheme="minorHAnsi" w:cstheme="minorHAnsi"/>
          <w:bCs/>
          <w:iCs/>
        </w:rPr>
        <w:t xml:space="preserve"> </w:t>
      </w:r>
      <w:r w:rsidR="00967A8C" w:rsidRPr="001547AE">
        <w:rPr>
          <w:rFonts w:asciiTheme="minorHAnsi" w:hAnsiTheme="minorHAnsi" w:cstheme="minorHAnsi"/>
          <w:bCs/>
          <w:i/>
        </w:rPr>
        <w:t>Houston Sconiers</w:t>
      </w:r>
      <w:r w:rsidR="00967A8C" w:rsidRPr="001547AE">
        <w:rPr>
          <w:rFonts w:asciiTheme="minorHAnsi" w:hAnsiTheme="minorHAnsi" w:cstheme="minorHAnsi"/>
          <w:bCs/>
          <w:iCs/>
        </w:rPr>
        <w:t xml:space="preserve"> error </w:t>
      </w:r>
      <w:r w:rsidR="006C0061" w:rsidRPr="001547AE">
        <w:rPr>
          <w:rFonts w:asciiTheme="minorHAnsi" w:hAnsiTheme="minorHAnsi" w:cstheme="minorHAnsi"/>
          <w:bCs/>
          <w:iCs/>
        </w:rPr>
        <w:t xml:space="preserve">here </w:t>
      </w:r>
      <w:r w:rsidR="00925CC3" w:rsidRPr="001547AE">
        <w:rPr>
          <w:rFonts w:asciiTheme="minorHAnsi" w:hAnsiTheme="minorHAnsi" w:cstheme="minorHAnsi"/>
          <w:bCs/>
          <w:iCs/>
        </w:rPr>
        <w:t>because</w:t>
      </w:r>
      <w:r w:rsidR="00967A8C" w:rsidRPr="001547AE">
        <w:rPr>
          <w:rFonts w:asciiTheme="minorHAnsi" w:hAnsiTheme="minorHAnsi" w:cstheme="minorHAnsi"/>
          <w:bCs/>
          <w:iCs/>
        </w:rPr>
        <w:t xml:space="preserve"> the</w:t>
      </w:r>
      <w:r w:rsidR="001162C6" w:rsidRPr="001547AE">
        <w:rPr>
          <w:rFonts w:asciiTheme="minorHAnsi" w:hAnsiTheme="minorHAnsi" w:cstheme="minorHAnsi"/>
          <w:bCs/>
          <w:iCs/>
        </w:rPr>
        <w:t xml:space="preserve"> trial court accept</w:t>
      </w:r>
      <w:r w:rsidR="00967A8C" w:rsidRPr="001547AE">
        <w:rPr>
          <w:rFonts w:asciiTheme="minorHAnsi" w:hAnsiTheme="minorHAnsi" w:cstheme="minorHAnsi"/>
          <w:bCs/>
          <w:iCs/>
        </w:rPr>
        <w:t>ed</w:t>
      </w:r>
      <w:r w:rsidR="001162C6" w:rsidRPr="001547AE">
        <w:rPr>
          <w:rFonts w:asciiTheme="minorHAnsi" w:hAnsiTheme="minorHAnsi" w:cstheme="minorHAnsi"/>
          <w:bCs/>
          <w:iCs/>
        </w:rPr>
        <w:t xml:space="preserve"> a plea bargain and </w:t>
      </w:r>
      <w:r w:rsidR="002E6661" w:rsidRPr="001547AE">
        <w:rPr>
          <w:rFonts w:asciiTheme="minorHAnsi" w:hAnsiTheme="minorHAnsi" w:cstheme="minorHAnsi"/>
          <w:bCs/>
          <w:iCs/>
        </w:rPr>
        <w:t xml:space="preserve">imposed the </w:t>
      </w:r>
      <w:r w:rsidR="001162C6" w:rsidRPr="001547AE">
        <w:rPr>
          <w:rFonts w:asciiTheme="minorHAnsi" w:hAnsiTheme="minorHAnsi" w:cstheme="minorHAnsi"/>
          <w:bCs/>
          <w:iCs/>
        </w:rPr>
        <w:t>joint sentence recommendation</w:t>
      </w:r>
      <w:r w:rsidR="00967A8C" w:rsidRPr="001547AE">
        <w:rPr>
          <w:rFonts w:asciiTheme="minorHAnsi" w:hAnsiTheme="minorHAnsi" w:cstheme="minorHAnsi"/>
          <w:bCs/>
          <w:iCs/>
        </w:rPr>
        <w:t xml:space="preserve">. </w:t>
      </w:r>
      <w:r w:rsidR="001162C6" w:rsidRPr="001547AE">
        <w:rPr>
          <w:rFonts w:asciiTheme="minorHAnsi" w:hAnsiTheme="minorHAnsi" w:cstheme="minorHAnsi"/>
          <w:bCs/>
          <w:i/>
        </w:rPr>
        <w:t xml:space="preserve">Houston-Sconiers </w:t>
      </w:r>
      <w:r w:rsidR="001162C6" w:rsidRPr="001547AE">
        <w:rPr>
          <w:rFonts w:asciiTheme="minorHAnsi" w:hAnsiTheme="minorHAnsi" w:cstheme="minorHAnsi"/>
          <w:bCs/>
          <w:iCs/>
        </w:rPr>
        <w:t xml:space="preserve">does not require </w:t>
      </w:r>
      <w:r w:rsidR="00967A8C" w:rsidRPr="001547AE">
        <w:rPr>
          <w:rFonts w:asciiTheme="minorHAnsi" w:hAnsiTheme="minorHAnsi" w:cstheme="minorHAnsi"/>
          <w:bCs/>
          <w:iCs/>
        </w:rPr>
        <w:t>an inquiry</w:t>
      </w:r>
      <w:r w:rsidR="001162C6" w:rsidRPr="001547AE">
        <w:rPr>
          <w:rFonts w:asciiTheme="minorHAnsi" w:hAnsiTheme="minorHAnsi" w:cstheme="minorHAnsi"/>
          <w:bCs/>
          <w:iCs/>
        </w:rPr>
        <w:t xml:space="preserve"> into </w:t>
      </w:r>
      <w:r w:rsidR="00967A8C" w:rsidRPr="001547AE">
        <w:rPr>
          <w:rFonts w:asciiTheme="minorHAnsi" w:hAnsiTheme="minorHAnsi" w:cstheme="minorHAnsi"/>
          <w:bCs/>
          <w:iCs/>
        </w:rPr>
        <w:t xml:space="preserve">the mitigating qualities of </w:t>
      </w:r>
      <w:r w:rsidR="001162C6" w:rsidRPr="001547AE">
        <w:rPr>
          <w:rFonts w:asciiTheme="minorHAnsi" w:hAnsiTheme="minorHAnsi" w:cstheme="minorHAnsi"/>
          <w:bCs/>
          <w:iCs/>
        </w:rPr>
        <w:t>youth</w:t>
      </w:r>
      <w:r w:rsidR="00967A8C" w:rsidRPr="001547AE">
        <w:rPr>
          <w:rFonts w:asciiTheme="minorHAnsi" w:hAnsiTheme="minorHAnsi" w:cstheme="minorHAnsi"/>
          <w:bCs/>
          <w:iCs/>
        </w:rPr>
        <w:t xml:space="preserve"> when the parties present </w:t>
      </w:r>
      <w:r w:rsidR="00D249ED" w:rsidRPr="001547AE">
        <w:rPr>
          <w:rFonts w:asciiTheme="minorHAnsi" w:hAnsiTheme="minorHAnsi" w:cstheme="minorHAnsi"/>
          <w:bCs/>
          <w:iCs/>
        </w:rPr>
        <w:t xml:space="preserve">a negotiated plea agreement requiring neither party </w:t>
      </w:r>
      <w:r w:rsidR="00EB0CA2" w:rsidRPr="001547AE">
        <w:rPr>
          <w:rFonts w:asciiTheme="minorHAnsi" w:hAnsiTheme="minorHAnsi" w:cstheme="minorHAnsi"/>
          <w:bCs/>
          <w:iCs/>
        </w:rPr>
        <w:t>to advocate</w:t>
      </w:r>
      <w:r w:rsidR="00D249ED" w:rsidRPr="001547AE">
        <w:rPr>
          <w:rFonts w:asciiTheme="minorHAnsi" w:hAnsiTheme="minorHAnsi" w:cstheme="minorHAnsi"/>
          <w:bCs/>
          <w:iCs/>
        </w:rPr>
        <w:t xml:space="preserve"> for a lesser sentence</w:t>
      </w:r>
      <w:r w:rsidR="001162C6" w:rsidRPr="001547AE">
        <w:rPr>
          <w:rFonts w:asciiTheme="minorHAnsi" w:hAnsiTheme="minorHAnsi" w:cstheme="minorHAnsi"/>
          <w:bCs/>
          <w:i/>
        </w:rPr>
        <w:t xml:space="preserve">. </w:t>
      </w:r>
      <w:r w:rsidR="001162C6" w:rsidRPr="001547AE">
        <w:rPr>
          <w:rFonts w:asciiTheme="minorHAnsi" w:hAnsiTheme="minorHAnsi" w:cstheme="minorHAnsi"/>
          <w:bCs/>
          <w:iCs/>
        </w:rPr>
        <w:t xml:space="preserve">An inquiry into </w:t>
      </w:r>
      <w:r w:rsidR="00EB0CA2" w:rsidRPr="001547AE">
        <w:rPr>
          <w:rFonts w:asciiTheme="minorHAnsi" w:hAnsiTheme="minorHAnsi" w:cstheme="minorHAnsi"/>
          <w:bCs/>
          <w:iCs/>
        </w:rPr>
        <w:t xml:space="preserve">the mitigating qualities of </w:t>
      </w:r>
      <w:r w:rsidR="001162C6" w:rsidRPr="001547AE">
        <w:rPr>
          <w:rFonts w:asciiTheme="minorHAnsi" w:hAnsiTheme="minorHAnsi" w:cstheme="minorHAnsi"/>
          <w:bCs/>
          <w:iCs/>
        </w:rPr>
        <w:t xml:space="preserve">youth is required when </w:t>
      </w:r>
      <w:r w:rsidR="004D4800" w:rsidRPr="001547AE">
        <w:rPr>
          <w:rFonts w:asciiTheme="minorHAnsi" w:hAnsiTheme="minorHAnsi" w:cstheme="minorHAnsi"/>
          <w:bCs/>
          <w:iCs/>
        </w:rPr>
        <w:t xml:space="preserve">the </w:t>
      </w:r>
      <w:r w:rsidR="001162C6" w:rsidRPr="001547AE">
        <w:rPr>
          <w:rFonts w:asciiTheme="minorHAnsi" w:hAnsiTheme="minorHAnsi" w:cstheme="minorHAnsi"/>
          <w:bCs/>
          <w:iCs/>
        </w:rPr>
        <w:t>parties do not come to an agreement,</w:t>
      </w:r>
      <w:r w:rsidR="00711C33" w:rsidRPr="001547AE">
        <w:rPr>
          <w:rFonts w:asciiTheme="minorHAnsi" w:hAnsiTheme="minorHAnsi" w:cstheme="minorHAnsi"/>
          <w:bCs/>
          <w:iCs/>
        </w:rPr>
        <w:t xml:space="preserve"> or when</w:t>
      </w:r>
      <w:r w:rsidR="004D4800" w:rsidRPr="001547AE">
        <w:rPr>
          <w:rFonts w:asciiTheme="minorHAnsi" w:hAnsiTheme="minorHAnsi" w:cstheme="minorHAnsi"/>
          <w:bCs/>
          <w:iCs/>
        </w:rPr>
        <w:t xml:space="preserve"> t</w:t>
      </w:r>
      <w:r w:rsidR="001162C6" w:rsidRPr="001547AE">
        <w:rPr>
          <w:rFonts w:asciiTheme="minorHAnsi" w:hAnsiTheme="minorHAnsi" w:cstheme="minorHAnsi"/>
          <w:bCs/>
          <w:iCs/>
        </w:rPr>
        <w:t xml:space="preserve">he trial judge rejects </w:t>
      </w:r>
      <w:r w:rsidR="004D4800" w:rsidRPr="001547AE">
        <w:rPr>
          <w:rFonts w:asciiTheme="minorHAnsi" w:hAnsiTheme="minorHAnsi" w:cstheme="minorHAnsi"/>
          <w:bCs/>
          <w:iCs/>
        </w:rPr>
        <w:t xml:space="preserve">an agreed recommendation </w:t>
      </w:r>
      <w:r w:rsidR="00711C33" w:rsidRPr="001547AE">
        <w:rPr>
          <w:rFonts w:asciiTheme="minorHAnsi" w:hAnsiTheme="minorHAnsi" w:cstheme="minorHAnsi"/>
          <w:bCs/>
          <w:iCs/>
        </w:rPr>
        <w:t xml:space="preserve">and </w:t>
      </w:r>
      <w:r w:rsidR="001162C6" w:rsidRPr="001547AE">
        <w:rPr>
          <w:rFonts w:asciiTheme="minorHAnsi" w:hAnsiTheme="minorHAnsi" w:cstheme="minorHAnsi"/>
          <w:bCs/>
          <w:iCs/>
        </w:rPr>
        <w:t>intends to impose a different penalty.</w:t>
      </w:r>
      <w:r w:rsidR="002E6661" w:rsidRPr="001547AE">
        <w:rPr>
          <w:rFonts w:asciiTheme="minorHAnsi" w:hAnsiTheme="minorHAnsi" w:cstheme="minorHAnsi"/>
          <w:bCs/>
          <w:iCs/>
        </w:rPr>
        <w:t xml:space="preserve"> </w:t>
      </w:r>
    </w:p>
    <w:p w14:paraId="4AB9A5B4" w14:textId="77777777" w:rsidR="00D249ED" w:rsidRPr="001547AE" w:rsidRDefault="00D249ED" w:rsidP="00A93265">
      <w:pPr>
        <w:rPr>
          <w:rFonts w:asciiTheme="minorHAnsi" w:hAnsiTheme="minorHAnsi" w:cstheme="minorHAnsi"/>
          <w:bCs/>
          <w:iCs/>
        </w:rPr>
      </w:pPr>
    </w:p>
    <w:p w14:paraId="396146DD" w14:textId="2946F2B0" w:rsidR="00D249ED" w:rsidRPr="001547AE" w:rsidRDefault="00D249ED" w:rsidP="00A93265">
      <w:pPr>
        <w:rPr>
          <w:rFonts w:asciiTheme="minorHAnsi" w:hAnsiTheme="minorHAnsi" w:cstheme="minorHAnsi"/>
          <w:bCs/>
          <w:iCs/>
        </w:rPr>
      </w:pPr>
      <w:r w:rsidRPr="001547AE">
        <w:rPr>
          <w:rFonts w:asciiTheme="minorHAnsi" w:hAnsiTheme="minorHAnsi" w:cstheme="minorHAnsi"/>
          <w:bCs/>
          <w:iCs/>
        </w:rPr>
        <w:t xml:space="preserve">Judges play no role in plea negotiations but do </w:t>
      </w:r>
      <w:r w:rsidR="00711C33" w:rsidRPr="001547AE">
        <w:rPr>
          <w:rFonts w:asciiTheme="minorHAnsi" w:hAnsiTheme="minorHAnsi" w:cstheme="minorHAnsi"/>
          <w:bCs/>
          <w:iCs/>
        </w:rPr>
        <w:t>play</w:t>
      </w:r>
      <w:r w:rsidRPr="001547AE">
        <w:rPr>
          <w:rFonts w:asciiTheme="minorHAnsi" w:hAnsiTheme="minorHAnsi" w:cstheme="minorHAnsi"/>
          <w:bCs/>
          <w:iCs/>
        </w:rPr>
        <w:t xml:space="preserve"> a critically important role when accepting or</w:t>
      </w:r>
      <w:r w:rsidR="00EB0CA2" w:rsidRPr="001547AE">
        <w:rPr>
          <w:rFonts w:asciiTheme="minorHAnsi" w:hAnsiTheme="minorHAnsi" w:cstheme="minorHAnsi"/>
          <w:bCs/>
          <w:iCs/>
        </w:rPr>
        <w:t xml:space="preserve"> </w:t>
      </w:r>
      <w:r w:rsidRPr="001547AE">
        <w:rPr>
          <w:rFonts w:asciiTheme="minorHAnsi" w:hAnsiTheme="minorHAnsi" w:cstheme="minorHAnsi"/>
          <w:bCs/>
          <w:iCs/>
        </w:rPr>
        <w:t xml:space="preserve">rejecting a plea agreement: determining whether the agreement is consistent with the interests of justice and with prosecuting standards. </w:t>
      </w:r>
    </w:p>
    <w:p w14:paraId="087C18DE" w14:textId="77777777" w:rsidR="00967A8C" w:rsidRPr="001547AE" w:rsidRDefault="00967A8C" w:rsidP="00A93265">
      <w:pPr>
        <w:rPr>
          <w:rFonts w:asciiTheme="minorHAnsi" w:hAnsiTheme="minorHAnsi" w:cstheme="minorHAnsi"/>
          <w:bCs/>
          <w:iCs/>
        </w:rPr>
      </w:pPr>
    </w:p>
    <w:p w14:paraId="7C9ECE96" w14:textId="0A69AF50" w:rsidR="00967A8C" w:rsidRPr="001547AE" w:rsidRDefault="00967A8C" w:rsidP="00BD560F">
      <w:pPr>
        <w:rPr>
          <w:rFonts w:asciiTheme="minorHAnsi" w:hAnsiTheme="minorHAnsi" w:cstheme="minorHAnsi"/>
          <w:bCs/>
          <w:iCs/>
        </w:rPr>
      </w:pPr>
      <w:r w:rsidRPr="001547AE">
        <w:rPr>
          <w:rFonts w:asciiTheme="minorHAnsi" w:hAnsiTheme="minorHAnsi" w:cstheme="minorHAnsi"/>
          <w:bCs/>
          <w:iCs/>
        </w:rPr>
        <w:t>Concurrence (J.  Yu</w:t>
      </w:r>
      <w:r w:rsidR="00804FF1" w:rsidRPr="001547AE">
        <w:rPr>
          <w:rFonts w:asciiTheme="minorHAnsi" w:hAnsiTheme="minorHAnsi" w:cstheme="minorHAnsi"/>
          <w:bCs/>
          <w:iCs/>
        </w:rPr>
        <w:t>, Whitener</w:t>
      </w:r>
      <w:r w:rsidRPr="001547AE">
        <w:rPr>
          <w:rFonts w:asciiTheme="minorHAnsi" w:hAnsiTheme="minorHAnsi" w:cstheme="minorHAnsi"/>
          <w:bCs/>
          <w:iCs/>
        </w:rPr>
        <w:t>)</w:t>
      </w:r>
      <w:r w:rsidR="00804FF1" w:rsidRPr="001547AE">
        <w:rPr>
          <w:rFonts w:asciiTheme="minorHAnsi" w:hAnsiTheme="minorHAnsi" w:cstheme="minorHAnsi"/>
          <w:bCs/>
          <w:iCs/>
        </w:rPr>
        <w:t xml:space="preserve"> </w:t>
      </w:r>
      <w:r w:rsidR="00570797" w:rsidRPr="001547AE">
        <w:rPr>
          <w:rFonts w:asciiTheme="minorHAnsi" w:hAnsiTheme="minorHAnsi" w:cstheme="minorHAnsi"/>
          <w:bCs/>
          <w:iCs/>
        </w:rPr>
        <w:t xml:space="preserve">The </w:t>
      </w:r>
      <w:r w:rsidR="00BD560F" w:rsidRPr="001547AE">
        <w:rPr>
          <w:rFonts w:asciiTheme="minorHAnsi" w:hAnsiTheme="minorHAnsi" w:cstheme="minorHAnsi"/>
          <w:bCs/>
          <w:iCs/>
        </w:rPr>
        <w:t xml:space="preserve">majority </w:t>
      </w:r>
      <w:r w:rsidR="00925CC3" w:rsidRPr="001547AE">
        <w:rPr>
          <w:rFonts w:asciiTheme="minorHAnsi" w:hAnsiTheme="minorHAnsi" w:cstheme="minorHAnsi"/>
          <w:bCs/>
          <w:iCs/>
        </w:rPr>
        <w:t>holding</w:t>
      </w:r>
      <w:r w:rsidR="00570797" w:rsidRPr="001547AE">
        <w:rPr>
          <w:rFonts w:asciiTheme="minorHAnsi" w:hAnsiTheme="minorHAnsi" w:cstheme="minorHAnsi"/>
          <w:bCs/>
          <w:iCs/>
        </w:rPr>
        <w:t xml:space="preserve"> </w:t>
      </w:r>
      <w:r w:rsidR="00BD560F" w:rsidRPr="001547AE">
        <w:rPr>
          <w:rFonts w:asciiTheme="minorHAnsi" w:hAnsiTheme="minorHAnsi" w:cstheme="minorHAnsi"/>
          <w:bCs/>
          <w:iCs/>
        </w:rPr>
        <w:t xml:space="preserve">correctly strikes the balance between application of our current case law, the need to protect juvenile privacy, and respect for the role of defense counsel in our adversarial criminal legal system. </w:t>
      </w:r>
    </w:p>
    <w:p w14:paraId="68242EBE" w14:textId="77777777" w:rsidR="00804FF1" w:rsidRPr="001547AE" w:rsidRDefault="00804FF1" w:rsidP="00A93265">
      <w:pPr>
        <w:rPr>
          <w:rFonts w:asciiTheme="minorHAnsi" w:hAnsiTheme="minorHAnsi" w:cstheme="minorHAnsi"/>
          <w:bCs/>
          <w:iCs/>
        </w:rPr>
      </w:pPr>
    </w:p>
    <w:p w14:paraId="6B80AC80" w14:textId="04C88047" w:rsidR="00804FF1" w:rsidRPr="001547AE" w:rsidRDefault="00804FF1" w:rsidP="00804FF1">
      <w:pPr>
        <w:rPr>
          <w:rFonts w:asciiTheme="minorHAnsi" w:hAnsiTheme="minorHAnsi" w:cstheme="minorHAnsi"/>
          <w:bCs/>
          <w:iCs/>
        </w:rPr>
      </w:pPr>
      <w:r w:rsidRPr="001547AE">
        <w:rPr>
          <w:rFonts w:asciiTheme="minorHAnsi" w:hAnsiTheme="minorHAnsi" w:cstheme="minorHAnsi"/>
          <w:bCs/>
          <w:iCs/>
        </w:rPr>
        <w:t>Dissent (J. Montoya-Lewis</w:t>
      </w:r>
      <w:r w:rsidR="000165BA" w:rsidRPr="001547AE">
        <w:rPr>
          <w:rFonts w:asciiTheme="minorHAnsi" w:hAnsiTheme="minorHAnsi" w:cstheme="minorHAnsi"/>
          <w:bCs/>
          <w:iCs/>
        </w:rPr>
        <w:t>, Gordon-McCloud</w:t>
      </w:r>
      <w:r w:rsidRPr="001547AE">
        <w:rPr>
          <w:rFonts w:asciiTheme="minorHAnsi" w:hAnsiTheme="minorHAnsi" w:cstheme="minorHAnsi"/>
          <w:bCs/>
          <w:iCs/>
        </w:rPr>
        <w:t xml:space="preserve">): The majority </w:t>
      </w:r>
      <w:r w:rsidR="00570797" w:rsidRPr="001547AE">
        <w:rPr>
          <w:rFonts w:asciiTheme="minorHAnsi" w:hAnsiTheme="minorHAnsi" w:cstheme="minorHAnsi"/>
          <w:bCs/>
          <w:iCs/>
        </w:rPr>
        <w:t xml:space="preserve">undercuts the </w:t>
      </w:r>
      <w:r w:rsidR="00925CC3" w:rsidRPr="001547AE">
        <w:rPr>
          <w:rFonts w:asciiTheme="minorHAnsi" w:hAnsiTheme="minorHAnsi" w:cstheme="minorHAnsi"/>
          <w:bCs/>
          <w:iCs/>
        </w:rPr>
        <w:t>C</w:t>
      </w:r>
      <w:r w:rsidR="00570797" w:rsidRPr="001547AE">
        <w:rPr>
          <w:rFonts w:asciiTheme="minorHAnsi" w:hAnsiTheme="minorHAnsi" w:cstheme="minorHAnsi"/>
          <w:bCs/>
          <w:iCs/>
        </w:rPr>
        <w:t>ourt</w:t>
      </w:r>
      <w:r w:rsidR="00925CC3" w:rsidRPr="001547AE">
        <w:rPr>
          <w:rFonts w:asciiTheme="minorHAnsi" w:hAnsiTheme="minorHAnsi" w:cstheme="minorHAnsi"/>
          <w:bCs/>
          <w:iCs/>
        </w:rPr>
        <w:t>’</w:t>
      </w:r>
      <w:r w:rsidR="00570797" w:rsidRPr="001547AE">
        <w:rPr>
          <w:rFonts w:asciiTheme="minorHAnsi" w:hAnsiTheme="minorHAnsi" w:cstheme="minorHAnsi"/>
          <w:bCs/>
          <w:iCs/>
        </w:rPr>
        <w:t>s prior precedent</w:t>
      </w:r>
      <w:r w:rsidR="00925CC3" w:rsidRPr="001547AE">
        <w:rPr>
          <w:rFonts w:asciiTheme="minorHAnsi" w:hAnsiTheme="minorHAnsi" w:cstheme="minorHAnsi"/>
          <w:bCs/>
          <w:iCs/>
        </w:rPr>
        <w:t xml:space="preserve"> and</w:t>
      </w:r>
      <w:r w:rsidR="00570797" w:rsidRPr="001547AE">
        <w:rPr>
          <w:rFonts w:asciiTheme="minorHAnsi" w:hAnsiTheme="minorHAnsi" w:cstheme="minorHAnsi"/>
          <w:bCs/>
          <w:iCs/>
        </w:rPr>
        <w:t xml:space="preserve"> </w:t>
      </w:r>
      <w:r w:rsidR="00925CC3" w:rsidRPr="001547AE">
        <w:rPr>
          <w:rFonts w:asciiTheme="minorHAnsi" w:hAnsiTheme="minorHAnsi" w:cstheme="minorHAnsi"/>
          <w:bCs/>
          <w:iCs/>
        </w:rPr>
        <w:t>“</w:t>
      </w:r>
      <w:r w:rsidRPr="001547AE">
        <w:rPr>
          <w:rFonts w:asciiTheme="minorHAnsi" w:hAnsiTheme="minorHAnsi" w:cstheme="minorHAnsi"/>
          <w:bCs/>
          <w:iCs/>
        </w:rPr>
        <w:t>continues down a troubling path that appears to limit our juvenile jurisprudence to such an extent that what we have previously</w:t>
      </w:r>
      <w:r w:rsidR="000165BA" w:rsidRPr="001547AE">
        <w:rPr>
          <w:rFonts w:asciiTheme="minorHAnsi" w:hAnsiTheme="minorHAnsi" w:cstheme="minorHAnsi"/>
          <w:bCs/>
          <w:iCs/>
        </w:rPr>
        <w:t xml:space="preserve"> </w:t>
      </w:r>
      <w:r w:rsidRPr="001547AE">
        <w:rPr>
          <w:rFonts w:asciiTheme="minorHAnsi" w:hAnsiTheme="minorHAnsi" w:cstheme="minorHAnsi"/>
          <w:bCs/>
          <w:iCs/>
        </w:rPr>
        <w:t>accepted as being of constitutional magnitude has become an error without a true</w:t>
      </w:r>
      <w:r w:rsidR="000165BA" w:rsidRPr="001547AE">
        <w:rPr>
          <w:rFonts w:asciiTheme="minorHAnsi" w:hAnsiTheme="minorHAnsi" w:cstheme="minorHAnsi"/>
          <w:bCs/>
          <w:iCs/>
        </w:rPr>
        <w:t xml:space="preserve"> </w:t>
      </w:r>
      <w:r w:rsidRPr="001547AE">
        <w:rPr>
          <w:rFonts w:asciiTheme="minorHAnsi" w:hAnsiTheme="minorHAnsi" w:cstheme="minorHAnsi"/>
          <w:bCs/>
          <w:iCs/>
        </w:rPr>
        <w:t>remedy.</w:t>
      </w:r>
      <w:r w:rsidR="00925CC3" w:rsidRPr="001547AE">
        <w:rPr>
          <w:rFonts w:asciiTheme="minorHAnsi" w:hAnsiTheme="minorHAnsi" w:cstheme="minorHAnsi"/>
          <w:bCs/>
          <w:iCs/>
        </w:rPr>
        <w:t>”</w:t>
      </w:r>
      <w:r w:rsidR="000165BA" w:rsidRPr="001547AE">
        <w:rPr>
          <w:rFonts w:asciiTheme="minorHAnsi" w:hAnsiTheme="minorHAnsi" w:cstheme="minorHAnsi"/>
          <w:bCs/>
          <w:iCs/>
        </w:rPr>
        <w:t xml:space="preserve"> </w:t>
      </w:r>
    </w:p>
    <w:p w14:paraId="2C60B5AF" w14:textId="77777777" w:rsidR="00027464" w:rsidRPr="001547AE" w:rsidRDefault="00027464" w:rsidP="00804FF1">
      <w:pPr>
        <w:rPr>
          <w:rFonts w:asciiTheme="minorHAnsi" w:hAnsiTheme="minorHAnsi" w:cstheme="minorHAnsi"/>
          <w:bCs/>
          <w:iCs/>
        </w:rPr>
      </w:pPr>
    </w:p>
    <w:p w14:paraId="7807F661" w14:textId="77777777" w:rsidR="00027464" w:rsidRPr="001547AE" w:rsidRDefault="00027464" w:rsidP="00BD560F">
      <w:pPr>
        <w:ind w:firstLine="720"/>
        <w:rPr>
          <w:rFonts w:asciiTheme="minorHAnsi" w:hAnsiTheme="minorHAnsi" w:cstheme="minorHAnsi"/>
          <w:bCs/>
          <w:iCs/>
        </w:rPr>
      </w:pPr>
      <w:r w:rsidRPr="001547AE">
        <w:rPr>
          <w:rFonts w:asciiTheme="minorHAnsi" w:hAnsiTheme="minorHAnsi" w:cstheme="minorHAnsi"/>
          <w:bCs/>
          <w:iCs/>
        </w:rPr>
        <w:t>While the majority correctly acknowledges that (1) the dual mandates of</w:t>
      </w:r>
    </w:p>
    <w:p w14:paraId="090F6D77" w14:textId="466130C9" w:rsidR="00027464" w:rsidRPr="001547AE" w:rsidRDefault="00027464" w:rsidP="00564672">
      <w:pPr>
        <w:ind w:left="720"/>
        <w:rPr>
          <w:rFonts w:asciiTheme="minorHAnsi" w:hAnsiTheme="minorHAnsi" w:cstheme="minorHAnsi"/>
          <w:bCs/>
          <w:iCs/>
        </w:rPr>
      </w:pPr>
      <w:r w:rsidRPr="001547AE">
        <w:rPr>
          <w:rFonts w:asciiTheme="minorHAnsi" w:hAnsiTheme="minorHAnsi" w:cstheme="minorHAnsi"/>
          <w:bCs/>
          <w:i/>
        </w:rPr>
        <w:t>Houston-Sconiers</w:t>
      </w:r>
      <w:r w:rsidRPr="001547AE">
        <w:rPr>
          <w:rFonts w:asciiTheme="minorHAnsi" w:hAnsiTheme="minorHAnsi" w:cstheme="minorHAnsi"/>
          <w:bCs/>
          <w:iCs/>
        </w:rPr>
        <w:t xml:space="preserve"> apply to 17-year-old Darren Harris’s sentence, (2) the sentencing</w:t>
      </w:r>
      <w:r w:rsidR="00564672" w:rsidRPr="001547AE">
        <w:rPr>
          <w:rFonts w:asciiTheme="minorHAnsi" w:hAnsiTheme="minorHAnsi" w:cstheme="minorHAnsi"/>
          <w:bCs/>
          <w:iCs/>
        </w:rPr>
        <w:t xml:space="preserve"> </w:t>
      </w:r>
      <w:r w:rsidRPr="001547AE">
        <w:rPr>
          <w:rFonts w:asciiTheme="minorHAnsi" w:hAnsiTheme="minorHAnsi" w:cstheme="minorHAnsi"/>
          <w:bCs/>
          <w:iCs/>
        </w:rPr>
        <w:t xml:space="preserve">court did not follow those requirements, and (3) the proper remedy for a </w:t>
      </w:r>
      <w:r w:rsidRPr="001547AE">
        <w:rPr>
          <w:rFonts w:asciiTheme="minorHAnsi" w:hAnsiTheme="minorHAnsi" w:cstheme="minorHAnsi"/>
          <w:bCs/>
          <w:i/>
        </w:rPr>
        <w:t>Houston-Sconiers</w:t>
      </w:r>
      <w:r w:rsidRPr="001547AE">
        <w:rPr>
          <w:rFonts w:asciiTheme="minorHAnsi" w:hAnsiTheme="minorHAnsi" w:cstheme="minorHAnsi"/>
          <w:bCs/>
          <w:iCs/>
        </w:rPr>
        <w:t xml:space="preserve"> error is resentencing, it declines to recognize that error or grant any relief</w:t>
      </w:r>
      <w:r w:rsidR="00564672" w:rsidRPr="001547AE">
        <w:rPr>
          <w:rFonts w:asciiTheme="minorHAnsi" w:hAnsiTheme="minorHAnsi" w:cstheme="minorHAnsi"/>
          <w:bCs/>
          <w:iCs/>
        </w:rPr>
        <w:t xml:space="preserve"> </w:t>
      </w:r>
      <w:r w:rsidRPr="001547AE">
        <w:rPr>
          <w:rFonts w:asciiTheme="minorHAnsi" w:hAnsiTheme="minorHAnsi" w:cstheme="minorHAnsi"/>
          <w:bCs/>
          <w:iCs/>
        </w:rPr>
        <w:t>because, like many people accused of committing crimes, Harris accepted a plea</w:t>
      </w:r>
      <w:r w:rsidR="00564672" w:rsidRPr="001547AE">
        <w:rPr>
          <w:rFonts w:asciiTheme="minorHAnsi" w:hAnsiTheme="minorHAnsi" w:cstheme="minorHAnsi"/>
          <w:bCs/>
          <w:iCs/>
        </w:rPr>
        <w:t xml:space="preserve"> </w:t>
      </w:r>
      <w:r w:rsidRPr="001547AE">
        <w:rPr>
          <w:rFonts w:asciiTheme="minorHAnsi" w:hAnsiTheme="minorHAnsi" w:cstheme="minorHAnsi"/>
          <w:bCs/>
          <w:iCs/>
        </w:rPr>
        <w:t>agreement.</w:t>
      </w:r>
      <w:r w:rsidRPr="001547AE">
        <w:t xml:space="preserve"> T</w:t>
      </w:r>
      <w:r w:rsidRPr="001547AE">
        <w:rPr>
          <w:rFonts w:asciiTheme="minorHAnsi" w:hAnsiTheme="minorHAnsi" w:cstheme="minorHAnsi"/>
          <w:bCs/>
          <w:iCs/>
        </w:rPr>
        <w:t>hat reasoning impermissibly undermines the constitutional protections</w:t>
      </w:r>
      <w:r w:rsidR="00564672" w:rsidRPr="001547AE">
        <w:rPr>
          <w:rFonts w:asciiTheme="minorHAnsi" w:hAnsiTheme="minorHAnsi" w:cstheme="minorHAnsi"/>
          <w:bCs/>
          <w:iCs/>
        </w:rPr>
        <w:t xml:space="preserve"> </w:t>
      </w:r>
      <w:r w:rsidRPr="001547AE">
        <w:rPr>
          <w:rFonts w:asciiTheme="minorHAnsi" w:hAnsiTheme="minorHAnsi" w:cstheme="minorHAnsi"/>
          <w:bCs/>
          <w:iCs/>
        </w:rPr>
        <w:t>against disproportionate punishments for children while simultaneously divesting</w:t>
      </w:r>
      <w:r w:rsidR="00564672" w:rsidRPr="001547AE">
        <w:rPr>
          <w:rFonts w:asciiTheme="minorHAnsi" w:hAnsiTheme="minorHAnsi" w:cstheme="minorHAnsi"/>
          <w:bCs/>
          <w:iCs/>
        </w:rPr>
        <w:t xml:space="preserve"> sentencing courts of their responsibility to exercise discretion as required by statute and constitution.</w:t>
      </w:r>
    </w:p>
    <w:p w14:paraId="2A2CEF95" w14:textId="77777777" w:rsidR="00F83DA0" w:rsidRPr="001547AE" w:rsidRDefault="00F83DA0" w:rsidP="00564672">
      <w:pPr>
        <w:ind w:left="720"/>
        <w:rPr>
          <w:rFonts w:asciiTheme="minorHAnsi" w:hAnsiTheme="minorHAnsi" w:cstheme="minorHAnsi"/>
        </w:rPr>
      </w:pPr>
    </w:p>
    <w:p w14:paraId="1FA3FD26" w14:textId="77777777" w:rsidR="00F83DA0" w:rsidRPr="001547AE" w:rsidRDefault="00F83DA0" w:rsidP="00F83DA0">
      <w:pPr>
        <w:rPr>
          <w:rFonts w:asciiTheme="minorHAnsi" w:hAnsiTheme="minorHAnsi" w:cstheme="minorHAnsi"/>
          <w:b/>
          <w:iCs/>
        </w:rPr>
      </w:pPr>
      <w:bookmarkStart w:id="1" w:name="_Hlk178261978"/>
      <w:r w:rsidRPr="001547AE">
        <w:rPr>
          <w:rFonts w:asciiTheme="minorHAnsi" w:hAnsiTheme="minorHAnsi" w:cstheme="minorHAnsi"/>
          <w:b/>
          <w:i/>
        </w:rPr>
        <w:t>Blake</w:t>
      </w:r>
      <w:r w:rsidRPr="001547AE">
        <w:rPr>
          <w:rFonts w:asciiTheme="minorHAnsi" w:hAnsiTheme="minorHAnsi" w:cstheme="minorHAnsi"/>
          <w:b/>
          <w:iCs/>
        </w:rPr>
        <w:t xml:space="preserve">: </w:t>
      </w:r>
      <w:r w:rsidRPr="001547AE">
        <w:rPr>
          <w:rFonts w:asciiTheme="minorHAnsi" w:hAnsiTheme="minorHAnsi" w:cstheme="minorHAnsi"/>
          <w:b/>
          <w:i/>
        </w:rPr>
        <w:t>Blake</w:t>
      </w:r>
      <w:r w:rsidRPr="001547AE">
        <w:rPr>
          <w:rFonts w:asciiTheme="minorHAnsi" w:hAnsiTheme="minorHAnsi" w:cstheme="minorHAnsi"/>
          <w:b/>
          <w:iCs/>
        </w:rPr>
        <w:t xml:space="preserve"> does not open the door to untimely challenges to guilty pleas to PCS and associated offenses. Vacate of the PCS conviction is the proper remedy.</w:t>
      </w:r>
    </w:p>
    <w:p w14:paraId="713368BA" w14:textId="77777777" w:rsidR="00F83DA0" w:rsidRPr="001547AE" w:rsidRDefault="00F83DA0" w:rsidP="00F83DA0">
      <w:pPr>
        <w:rPr>
          <w:rFonts w:asciiTheme="minorHAnsi" w:hAnsiTheme="minorHAnsi" w:cstheme="minorHAnsi"/>
          <w:b/>
          <w:iCs/>
        </w:rPr>
      </w:pPr>
    </w:p>
    <w:p w14:paraId="5C45A42D" w14:textId="21E52F17" w:rsidR="00F83DA0" w:rsidRPr="001547AE" w:rsidRDefault="00F83DA0" w:rsidP="00F83DA0">
      <w:pPr>
        <w:rPr>
          <w:rFonts w:asciiTheme="minorHAnsi" w:hAnsiTheme="minorHAnsi" w:cstheme="minorHAnsi"/>
          <w:b/>
          <w:iCs/>
        </w:rPr>
      </w:pPr>
      <w:r w:rsidRPr="00050244">
        <w:rPr>
          <w:rFonts w:asciiTheme="minorHAnsi" w:hAnsiTheme="minorHAnsi" w:cstheme="minorHAnsi"/>
          <w:bCs/>
          <w:i/>
        </w:rPr>
        <w:t>State v. Olsen</w:t>
      </w:r>
      <w:r w:rsidRPr="001547AE">
        <w:rPr>
          <w:rFonts w:asciiTheme="minorHAnsi" w:hAnsiTheme="minorHAnsi" w:cstheme="minorHAnsi"/>
          <w:b/>
          <w:iCs/>
        </w:rPr>
        <w:t xml:space="preserve">, </w:t>
      </w:r>
      <w:r w:rsidR="00050244">
        <w:rPr>
          <w:rFonts w:asciiTheme="minorHAnsi" w:hAnsiTheme="minorHAnsi" w:cstheme="minorHAnsi"/>
          <w:bCs/>
          <w:iCs/>
        </w:rPr>
        <w:t>3</w:t>
      </w:r>
      <w:r w:rsidRPr="001547AE">
        <w:rPr>
          <w:rFonts w:asciiTheme="minorHAnsi" w:hAnsiTheme="minorHAnsi" w:cstheme="minorHAnsi"/>
          <w:bCs/>
          <w:iCs/>
        </w:rPr>
        <w:t xml:space="preserve"> Wn.</w:t>
      </w:r>
      <w:r w:rsidR="00050244">
        <w:rPr>
          <w:rFonts w:asciiTheme="minorHAnsi" w:hAnsiTheme="minorHAnsi" w:cstheme="minorHAnsi"/>
          <w:bCs/>
          <w:iCs/>
        </w:rPr>
        <w:t>3</w:t>
      </w:r>
      <w:r w:rsidRPr="001547AE">
        <w:rPr>
          <w:rFonts w:asciiTheme="minorHAnsi" w:hAnsiTheme="minorHAnsi" w:cstheme="minorHAnsi"/>
          <w:bCs/>
          <w:iCs/>
        </w:rPr>
        <w:t xml:space="preserve">d </w:t>
      </w:r>
      <w:r w:rsidR="00050244">
        <w:rPr>
          <w:rFonts w:asciiTheme="minorHAnsi" w:hAnsiTheme="minorHAnsi" w:cstheme="minorHAnsi"/>
          <w:bCs/>
          <w:iCs/>
        </w:rPr>
        <w:t xml:space="preserve">689, 555 P.3d 868 </w:t>
      </w:r>
      <w:r w:rsidRPr="001547AE">
        <w:rPr>
          <w:rFonts w:asciiTheme="minorHAnsi" w:hAnsiTheme="minorHAnsi" w:cstheme="minorHAnsi"/>
          <w:bCs/>
          <w:iCs/>
        </w:rPr>
        <w:t>(2024)</w:t>
      </w:r>
    </w:p>
    <w:p w14:paraId="76B82EE2" w14:textId="77777777" w:rsidR="00F83DA0" w:rsidRPr="001547AE" w:rsidRDefault="00F83DA0" w:rsidP="00F83DA0">
      <w:pPr>
        <w:rPr>
          <w:rFonts w:asciiTheme="minorHAnsi" w:hAnsiTheme="minorHAnsi" w:cstheme="minorHAnsi"/>
          <w:bCs/>
          <w:iCs/>
        </w:rPr>
      </w:pPr>
      <w:r w:rsidRPr="001547AE">
        <w:rPr>
          <w:rFonts w:asciiTheme="minorHAnsi" w:hAnsiTheme="minorHAnsi" w:cstheme="minorHAnsi"/>
          <w:bCs/>
          <w:iCs/>
        </w:rPr>
        <w:t xml:space="preserve">In 2003 and 2006, Mr. Olsen pleaded guilty to several offenses, including charges of unlawful possession of a controlled substance (PCS). In 2003 in separate plea agreements, he pleaded guilty to forgery and PCS.  In 2006, in a single plea agreement, he pleaded guilty to PCS and UPFA 2.  In 2021, following </w:t>
      </w:r>
      <w:r w:rsidRPr="001547AE">
        <w:rPr>
          <w:rFonts w:asciiTheme="minorHAnsi" w:hAnsiTheme="minorHAnsi" w:cstheme="minorHAnsi"/>
          <w:bCs/>
          <w:i/>
        </w:rPr>
        <w:t>Blake</w:t>
      </w:r>
      <w:r w:rsidRPr="001547AE">
        <w:rPr>
          <w:rFonts w:asciiTheme="minorHAnsi" w:hAnsiTheme="minorHAnsi" w:cstheme="minorHAnsi"/>
          <w:bCs/>
          <w:iCs/>
        </w:rPr>
        <w:t xml:space="preserve">, Mr. Olsen filed motions to withdraw his pleas to all the charges. The trial court vacated his PCS convictions pursuant to </w:t>
      </w:r>
      <w:r w:rsidRPr="001547AE">
        <w:rPr>
          <w:rFonts w:asciiTheme="minorHAnsi" w:hAnsiTheme="minorHAnsi" w:cstheme="minorHAnsi"/>
          <w:bCs/>
          <w:i/>
        </w:rPr>
        <w:t>Blake</w:t>
      </w:r>
      <w:r w:rsidRPr="001547AE">
        <w:rPr>
          <w:rFonts w:asciiTheme="minorHAnsi" w:hAnsiTheme="minorHAnsi" w:cstheme="minorHAnsi"/>
          <w:bCs/>
          <w:iCs/>
        </w:rPr>
        <w:t xml:space="preserve"> but denied his motions to withdraw his guilty pleas. Mr. Olsen appealed arguing that his guilty pleas in 2003 and 2006 were each part of indivisible plea agreements. </w:t>
      </w:r>
    </w:p>
    <w:p w14:paraId="12EB7A75" w14:textId="77777777" w:rsidR="00F83DA0" w:rsidRPr="001547AE" w:rsidRDefault="00F83DA0" w:rsidP="00F83DA0">
      <w:pPr>
        <w:rPr>
          <w:rFonts w:asciiTheme="minorHAnsi" w:hAnsiTheme="minorHAnsi" w:cstheme="minorHAnsi"/>
          <w:bCs/>
          <w:iCs/>
        </w:rPr>
      </w:pPr>
    </w:p>
    <w:p w14:paraId="6EC592C6" w14:textId="77777777" w:rsidR="00F83DA0" w:rsidRPr="001547AE" w:rsidRDefault="00F83DA0" w:rsidP="00F83DA0">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xml:space="preserve">, Mr. Olsen’s motions to withdraw his guilty pleas are time barred. While </w:t>
      </w:r>
      <w:r w:rsidRPr="001547AE">
        <w:rPr>
          <w:rFonts w:asciiTheme="minorHAnsi" w:hAnsiTheme="minorHAnsi" w:cstheme="minorHAnsi"/>
          <w:bCs/>
          <w:i/>
        </w:rPr>
        <w:t>Blake</w:t>
      </w:r>
      <w:r w:rsidRPr="001547AE">
        <w:rPr>
          <w:rFonts w:asciiTheme="minorHAnsi" w:hAnsiTheme="minorHAnsi" w:cstheme="minorHAnsi"/>
          <w:bCs/>
          <w:iCs/>
        </w:rPr>
        <w:t xml:space="preserve"> constitutes a significant and material change in the law that must be applied retroactively to vacating drug possession convictions, </w:t>
      </w:r>
      <w:r w:rsidRPr="001547AE">
        <w:rPr>
          <w:rFonts w:asciiTheme="minorHAnsi" w:hAnsiTheme="minorHAnsi" w:cstheme="minorHAnsi"/>
          <w:bCs/>
          <w:i/>
        </w:rPr>
        <w:t>Blake</w:t>
      </w:r>
      <w:r w:rsidRPr="001547AE">
        <w:rPr>
          <w:rFonts w:asciiTheme="minorHAnsi" w:hAnsiTheme="minorHAnsi" w:cstheme="minorHAnsi"/>
          <w:bCs/>
          <w:iCs/>
        </w:rPr>
        <w:t xml:space="preserve"> is not material to Mr. Olson’s claims to withdraw his guilty pleas to PCS or the associated counts. </w:t>
      </w:r>
      <w:r w:rsidRPr="001547AE">
        <w:rPr>
          <w:rFonts w:asciiTheme="minorHAnsi" w:hAnsiTheme="minorHAnsi" w:cstheme="minorHAnsi"/>
          <w:bCs/>
          <w:i/>
        </w:rPr>
        <w:t>Blake</w:t>
      </w:r>
      <w:r w:rsidRPr="001547AE">
        <w:rPr>
          <w:rFonts w:asciiTheme="minorHAnsi" w:hAnsiTheme="minorHAnsi" w:cstheme="minorHAnsi"/>
          <w:bCs/>
          <w:iCs/>
        </w:rPr>
        <w:t xml:space="preserve"> rendered the PCS convictions invalid; it did not render his guilty pleas in 2003 and 2006 unknowing and involuntary. Subsequent changes in the law do not affect the validity of a plea.</w:t>
      </w:r>
    </w:p>
    <w:p w14:paraId="2C9C9F95" w14:textId="77777777" w:rsidR="00F83DA0" w:rsidRPr="001547AE" w:rsidRDefault="00F83DA0" w:rsidP="00F83DA0">
      <w:pPr>
        <w:rPr>
          <w:rFonts w:asciiTheme="minorHAnsi" w:hAnsiTheme="minorHAnsi" w:cstheme="minorHAnsi"/>
          <w:b/>
          <w:iCs/>
        </w:rPr>
      </w:pPr>
    </w:p>
    <w:p w14:paraId="0FA2CF1B" w14:textId="77777777" w:rsidR="00F83DA0" w:rsidRPr="001547AE" w:rsidRDefault="00F83DA0" w:rsidP="00F83DA0">
      <w:pPr>
        <w:rPr>
          <w:rFonts w:asciiTheme="minorHAnsi" w:hAnsiTheme="minorHAnsi" w:cstheme="minorHAnsi"/>
          <w:b/>
          <w:iCs/>
        </w:rPr>
      </w:pPr>
      <w:r w:rsidRPr="001547AE">
        <w:rPr>
          <w:rFonts w:asciiTheme="minorHAnsi" w:hAnsiTheme="minorHAnsi" w:cstheme="minorHAnsi"/>
          <w:b/>
          <w:i/>
        </w:rPr>
        <w:t>Blake</w:t>
      </w:r>
      <w:r w:rsidRPr="001547AE">
        <w:rPr>
          <w:rFonts w:asciiTheme="minorHAnsi" w:hAnsiTheme="minorHAnsi" w:cstheme="minorHAnsi"/>
          <w:b/>
          <w:iCs/>
        </w:rPr>
        <w:t xml:space="preserve">: </w:t>
      </w:r>
      <w:r w:rsidRPr="001547AE">
        <w:rPr>
          <w:rFonts w:asciiTheme="minorHAnsi" w:hAnsiTheme="minorHAnsi" w:cstheme="minorHAnsi"/>
          <w:b/>
          <w:i/>
        </w:rPr>
        <w:t>Blake</w:t>
      </w:r>
      <w:r w:rsidRPr="001547AE">
        <w:rPr>
          <w:rFonts w:asciiTheme="minorHAnsi" w:hAnsiTheme="minorHAnsi" w:cstheme="minorHAnsi"/>
          <w:b/>
          <w:iCs/>
        </w:rPr>
        <w:t xml:space="preserve"> does not open the door to untimely challenges to guilty pleas to PCS and associated offenses. </w:t>
      </w:r>
    </w:p>
    <w:p w14:paraId="73EFE638" w14:textId="77777777" w:rsidR="00F83DA0" w:rsidRPr="001547AE" w:rsidRDefault="00F83DA0" w:rsidP="00F83DA0">
      <w:pPr>
        <w:rPr>
          <w:rFonts w:asciiTheme="minorHAnsi" w:hAnsiTheme="minorHAnsi" w:cstheme="minorHAnsi"/>
          <w:b/>
          <w:i/>
        </w:rPr>
      </w:pPr>
    </w:p>
    <w:p w14:paraId="555FE103" w14:textId="77777777" w:rsidR="00F83DA0" w:rsidRPr="001547AE" w:rsidRDefault="00F83DA0" w:rsidP="00F83DA0">
      <w:pPr>
        <w:rPr>
          <w:rFonts w:asciiTheme="minorHAnsi" w:hAnsiTheme="minorHAnsi" w:cstheme="minorHAnsi"/>
          <w:b/>
          <w:iCs/>
        </w:rPr>
      </w:pPr>
      <w:r w:rsidRPr="001547AE">
        <w:rPr>
          <w:rFonts w:asciiTheme="minorHAnsi" w:hAnsiTheme="minorHAnsi" w:cstheme="minorHAnsi"/>
          <w:b/>
          <w:i/>
        </w:rPr>
        <w:t>Blake</w:t>
      </w:r>
      <w:r w:rsidRPr="001547AE">
        <w:rPr>
          <w:rFonts w:asciiTheme="minorHAnsi" w:hAnsiTheme="minorHAnsi" w:cstheme="minorHAnsi"/>
          <w:b/>
          <w:iCs/>
        </w:rPr>
        <w:t xml:space="preserve">: </w:t>
      </w:r>
      <w:r w:rsidRPr="001547AE">
        <w:rPr>
          <w:rFonts w:asciiTheme="minorHAnsi" w:hAnsiTheme="minorHAnsi" w:cstheme="minorHAnsi"/>
          <w:b/>
          <w:i/>
        </w:rPr>
        <w:t>Blake</w:t>
      </w:r>
      <w:r w:rsidRPr="001547AE">
        <w:rPr>
          <w:rFonts w:asciiTheme="minorHAnsi" w:hAnsiTheme="minorHAnsi" w:cstheme="minorHAnsi"/>
          <w:b/>
          <w:iCs/>
        </w:rPr>
        <w:t xml:space="preserve"> does not affect the validity of guilty pleas to associated non-PCS offenses. </w:t>
      </w:r>
    </w:p>
    <w:p w14:paraId="5A4814DE" w14:textId="77777777" w:rsidR="00F83DA0" w:rsidRPr="001547AE" w:rsidRDefault="00F83DA0" w:rsidP="00F83DA0">
      <w:pPr>
        <w:rPr>
          <w:rFonts w:asciiTheme="minorHAnsi" w:hAnsiTheme="minorHAnsi" w:cstheme="minorHAnsi"/>
          <w:b/>
          <w:i/>
        </w:rPr>
      </w:pPr>
    </w:p>
    <w:p w14:paraId="1A556E41" w14:textId="6273E0D5" w:rsidR="00F83DA0" w:rsidRPr="001547AE" w:rsidRDefault="00F83DA0" w:rsidP="00F83DA0">
      <w:pPr>
        <w:rPr>
          <w:rFonts w:asciiTheme="minorHAnsi" w:hAnsiTheme="minorHAnsi" w:cstheme="minorHAnsi"/>
          <w:b/>
          <w:iCs/>
        </w:rPr>
      </w:pPr>
      <w:r w:rsidRPr="009079FA">
        <w:rPr>
          <w:rFonts w:asciiTheme="minorHAnsi" w:hAnsiTheme="minorHAnsi" w:cstheme="minorHAnsi"/>
          <w:bCs/>
          <w:i/>
        </w:rPr>
        <w:t xml:space="preserve">State v. </w:t>
      </w:r>
      <w:proofErr w:type="spellStart"/>
      <w:r w:rsidRPr="009079FA">
        <w:rPr>
          <w:rFonts w:asciiTheme="minorHAnsi" w:hAnsiTheme="minorHAnsi" w:cstheme="minorHAnsi"/>
          <w:bCs/>
          <w:i/>
        </w:rPr>
        <w:t>Willyard</w:t>
      </w:r>
      <w:proofErr w:type="spellEnd"/>
      <w:r w:rsidRPr="001547AE">
        <w:rPr>
          <w:rFonts w:asciiTheme="minorHAnsi" w:hAnsiTheme="minorHAnsi" w:cstheme="minorHAnsi"/>
          <w:b/>
          <w:iCs/>
        </w:rPr>
        <w:t xml:space="preserve">, </w:t>
      </w:r>
      <w:r w:rsidR="00050244">
        <w:rPr>
          <w:rFonts w:asciiTheme="minorHAnsi" w:hAnsiTheme="minorHAnsi" w:cstheme="minorHAnsi"/>
          <w:bCs/>
          <w:iCs/>
        </w:rPr>
        <w:t>3</w:t>
      </w:r>
      <w:r w:rsidRPr="001547AE">
        <w:rPr>
          <w:rFonts w:asciiTheme="minorHAnsi" w:hAnsiTheme="minorHAnsi" w:cstheme="minorHAnsi"/>
          <w:bCs/>
          <w:iCs/>
        </w:rPr>
        <w:t xml:space="preserve"> Wn.</w:t>
      </w:r>
      <w:r w:rsidR="00050244">
        <w:rPr>
          <w:rFonts w:asciiTheme="minorHAnsi" w:hAnsiTheme="minorHAnsi" w:cstheme="minorHAnsi"/>
          <w:bCs/>
          <w:iCs/>
        </w:rPr>
        <w:t>3</w:t>
      </w:r>
      <w:r w:rsidRPr="001547AE">
        <w:rPr>
          <w:rFonts w:asciiTheme="minorHAnsi" w:hAnsiTheme="minorHAnsi" w:cstheme="minorHAnsi"/>
          <w:bCs/>
          <w:iCs/>
        </w:rPr>
        <w:t xml:space="preserve">d </w:t>
      </w:r>
      <w:r w:rsidR="00050244">
        <w:rPr>
          <w:rFonts w:asciiTheme="minorHAnsi" w:hAnsiTheme="minorHAnsi" w:cstheme="minorHAnsi"/>
          <w:bCs/>
          <w:iCs/>
        </w:rPr>
        <w:t>703, 555 P.3d 876</w:t>
      </w:r>
      <w:r w:rsidRPr="001547AE">
        <w:rPr>
          <w:rFonts w:asciiTheme="minorHAnsi" w:hAnsiTheme="minorHAnsi" w:cstheme="minorHAnsi"/>
          <w:bCs/>
          <w:iCs/>
        </w:rPr>
        <w:t xml:space="preserve"> (2024)</w:t>
      </w:r>
    </w:p>
    <w:p w14:paraId="5A7372C7" w14:textId="77777777" w:rsidR="00F83DA0" w:rsidRPr="001547AE" w:rsidRDefault="00F83DA0" w:rsidP="00F83DA0">
      <w:pPr>
        <w:rPr>
          <w:rFonts w:asciiTheme="minorHAnsi" w:hAnsiTheme="minorHAnsi" w:cstheme="minorHAnsi"/>
          <w:bCs/>
          <w:iCs/>
        </w:rPr>
      </w:pPr>
      <w:r w:rsidRPr="001547AE">
        <w:rPr>
          <w:rFonts w:asciiTheme="minorHAnsi" w:hAnsiTheme="minorHAnsi" w:cstheme="minorHAnsi"/>
          <w:bCs/>
          <w:iCs/>
        </w:rPr>
        <w:t xml:space="preserve">In 2003, Ms. </w:t>
      </w:r>
      <w:proofErr w:type="spellStart"/>
      <w:r w:rsidRPr="001547AE">
        <w:rPr>
          <w:rFonts w:asciiTheme="minorHAnsi" w:hAnsiTheme="minorHAnsi" w:cstheme="minorHAnsi"/>
          <w:bCs/>
          <w:iCs/>
        </w:rPr>
        <w:t>Willyard</w:t>
      </w:r>
      <w:proofErr w:type="spellEnd"/>
      <w:r w:rsidRPr="001547AE">
        <w:rPr>
          <w:rFonts w:asciiTheme="minorHAnsi" w:hAnsiTheme="minorHAnsi" w:cstheme="minorHAnsi"/>
          <w:bCs/>
          <w:iCs/>
        </w:rPr>
        <w:t xml:space="preserve"> pleaded guilty to three charges in two separate cases, including one count of unlawful possession of a controlled substance (PCS), one count of bail jumping, and one count of obstruction. The court held a sentencing hearing for both cases on the same date and the J &amp; S for each case cross referenced the other. In 2021, following </w:t>
      </w:r>
      <w:r w:rsidRPr="001547AE">
        <w:rPr>
          <w:rFonts w:asciiTheme="minorHAnsi" w:hAnsiTheme="minorHAnsi" w:cstheme="minorHAnsi"/>
          <w:bCs/>
          <w:i/>
        </w:rPr>
        <w:t>Blake</w:t>
      </w:r>
      <w:r w:rsidRPr="001547AE">
        <w:rPr>
          <w:rFonts w:asciiTheme="minorHAnsi" w:hAnsiTheme="minorHAnsi" w:cstheme="minorHAnsi"/>
          <w:bCs/>
          <w:iCs/>
        </w:rPr>
        <w:t xml:space="preserve">, Ms. </w:t>
      </w:r>
      <w:proofErr w:type="spellStart"/>
      <w:r w:rsidRPr="001547AE">
        <w:rPr>
          <w:rFonts w:asciiTheme="minorHAnsi" w:hAnsiTheme="minorHAnsi" w:cstheme="minorHAnsi"/>
          <w:bCs/>
          <w:iCs/>
        </w:rPr>
        <w:t>Willyard</w:t>
      </w:r>
      <w:proofErr w:type="spellEnd"/>
      <w:r w:rsidRPr="001547AE">
        <w:rPr>
          <w:rFonts w:asciiTheme="minorHAnsi" w:hAnsiTheme="minorHAnsi" w:cstheme="minorHAnsi"/>
          <w:bCs/>
          <w:iCs/>
        </w:rPr>
        <w:t xml:space="preserve"> moved to withdraw her guilty pleas to all the charges in both cases, arguing that the PCS was a nonexistent crime, that the entire judgment was void, and that the guilty pleas were part of an indivisible plea agreement. She argued that the time bar in 10.73.090 did not apply because the judgments were facially invalid due to her conviction for a nonexistent crime. She argued in the alternative that </w:t>
      </w:r>
      <w:r w:rsidRPr="001547AE">
        <w:rPr>
          <w:rFonts w:asciiTheme="minorHAnsi" w:hAnsiTheme="minorHAnsi" w:cstheme="minorHAnsi"/>
          <w:bCs/>
          <w:i/>
        </w:rPr>
        <w:t>Blake</w:t>
      </w:r>
      <w:r w:rsidRPr="001547AE">
        <w:rPr>
          <w:rFonts w:asciiTheme="minorHAnsi" w:hAnsiTheme="minorHAnsi" w:cstheme="minorHAnsi"/>
          <w:bCs/>
          <w:iCs/>
        </w:rPr>
        <w:t xml:space="preserve"> was a significant change in the law that is retroactive and material to her convictions. The trial court vacated her PCS conviction pursuant to </w:t>
      </w:r>
      <w:r w:rsidRPr="001547AE">
        <w:rPr>
          <w:rFonts w:asciiTheme="minorHAnsi" w:hAnsiTheme="minorHAnsi" w:cstheme="minorHAnsi"/>
          <w:bCs/>
          <w:i/>
        </w:rPr>
        <w:t>Blake</w:t>
      </w:r>
      <w:r w:rsidRPr="001547AE">
        <w:rPr>
          <w:rFonts w:asciiTheme="minorHAnsi" w:hAnsiTheme="minorHAnsi" w:cstheme="minorHAnsi"/>
          <w:bCs/>
          <w:iCs/>
        </w:rPr>
        <w:t xml:space="preserve"> and denied her motions to withdraw the guilty pleas in the other counts.  </w:t>
      </w:r>
    </w:p>
    <w:p w14:paraId="1A071ADB" w14:textId="77777777" w:rsidR="00F83DA0" w:rsidRPr="001547AE" w:rsidRDefault="00F83DA0" w:rsidP="00F83DA0">
      <w:pPr>
        <w:rPr>
          <w:rFonts w:asciiTheme="minorHAnsi" w:hAnsiTheme="minorHAnsi" w:cstheme="minorHAnsi"/>
          <w:bCs/>
          <w:iCs/>
        </w:rPr>
      </w:pPr>
    </w:p>
    <w:p w14:paraId="1D9DFFE1" w14:textId="77777777" w:rsidR="00F83DA0" w:rsidRPr="001547AE" w:rsidRDefault="00F83DA0" w:rsidP="00F83DA0">
      <w:pPr>
        <w:rPr>
          <w:rFonts w:asciiTheme="minorHAnsi" w:hAnsiTheme="minorHAnsi" w:cstheme="minorHAnsi"/>
          <w:bCs/>
          <w:iCs/>
        </w:rPr>
      </w:pPr>
      <w:r w:rsidRPr="001547AE">
        <w:rPr>
          <w:rFonts w:asciiTheme="minorHAnsi" w:hAnsiTheme="minorHAnsi" w:cstheme="minorHAnsi"/>
          <w:bCs/>
          <w:i/>
        </w:rPr>
        <w:t>Held</w:t>
      </w:r>
      <w:r w:rsidRPr="001547AE">
        <w:rPr>
          <w:rFonts w:asciiTheme="minorHAnsi" w:hAnsiTheme="minorHAnsi" w:cstheme="minorHAnsi"/>
          <w:bCs/>
          <w:iCs/>
        </w:rPr>
        <w:t xml:space="preserve">, the motions to withdraw the guilty pleas to charges other than PCS are time barred. A motion to withdraw a guilty plea is a collateral attack which must be filed within one year after the judgement becomes final. RCW 10.73.090. RCW 10.73.100 </w:t>
      </w:r>
      <w:r w:rsidRPr="001547AE">
        <w:rPr>
          <w:rFonts w:asciiTheme="minorHAnsi" w:hAnsiTheme="minorHAnsi" w:cstheme="minorHAnsi"/>
          <w:bCs/>
          <w:iCs/>
        </w:rPr>
        <w:lastRenderedPageBreak/>
        <w:t xml:space="preserve">provides an exception to the time bar where “the statute that the defendant was convicted of violating was unconstitutional on its face or as applied to the defendant’s conduct.” This exception to the time bar applies only to the unconstitutional conviction, and raising a claim under an exception does not open the door to other time barred claims. </w:t>
      </w:r>
    </w:p>
    <w:p w14:paraId="516E16AE" w14:textId="77777777" w:rsidR="00F83DA0" w:rsidRPr="001547AE" w:rsidRDefault="00F83DA0" w:rsidP="00F83DA0">
      <w:pPr>
        <w:rPr>
          <w:rFonts w:asciiTheme="minorHAnsi" w:hAnsiTheme="minorHAnsi" w:cstheme="minorHAnsi"/>
          <w:bCs/>
          <w:iCs/>
        </w:rPr>
      </w:pPr>
    </w:p>
    <w:p w14:paraId="0768F70B" w14:textId="77777777" w:rsidR="00F83DA0" w:rsidRPr="001547AE" w:rsidRDefault="00F83DA0" w:rsidP="00F83DA0">
      <w:pPr>
        <w:rPr>
          <w:rFonts w:asciiTheme="minorHAnsi" w:hAnsiTheme="minorHAnsi" w:cstheme="minorHAnsi"/>
          <w:bCs/>
          <w:iCs/>
        </w:rPr>
      </w:pPr>
      <w:r w:rsidRPr="001547AE">
        <w:rPr>
          <w:rFonts w:asciiTheme="minorHAnsi" w:hAnsiTheme="minorHAnsi" w:cstheme="minorHAnsi"/>
          <w:bCs/>
          <w:i/>
        </w:rPr>
        <w:t>Held, Blake</w:t>
      </w:r>
      <w:r w:rsidRPr="001547AE">
        <w:rPr>
          <w:rFonts w:asciiTheme="minorHAnsi" w:hAnsiTheme="minorHAnsi" w:cstheme="minorHAnsi"/>
          <w:bCs/>
          <w:iCs/>
        </w:rPr>
        <w:t xml:space="preserve"> is a significant change in the law that is material and applies retroactively to the PCS, but not to the associated convictions. PCS under the former statute is not a nonexistent crime.  For a plea to be knowing and voluntary, a person must understand the consequences of the plea that existed at the time of the plea.  Because Ms. </w:t>
      </w:r>
      <w:proofErr w:type="spellStart"/>
      <w:r w:rsidRPr="001547AE">
        <w:rPr>
          <w:rFonts w:asciiTheme="minorHAnsi" w:hAnsiTheme="minorHAnsi" w:cstheme="minorHAnsi"/>
          <w:bCs/>
          <w:iCs/>
        </w:rPr>
        <w:t>Willyard</w:t>
      </w:r>
      <w:proofErr w:type="spellEnd"/>
      <w:r w:rsidRPr="001547AE">
        <w:rPr>
          <w:rFonts w:asciiTheme="minorHAnsi" w:hAnsiTheme="minorHAnsi" w:cstheme="minorHAnsi"/>
          <w:bCs/>
          <w:iCs/>
        </w:rPr>
        <w:t xml:space="preserve"> understood the consequences of pleading guilty that existed at the time of her pleas, the pleas were voluntary and lawful. PCS under the former statute is not a nonexistent crime.</w:t>
      </w:r>
    </w:p>
    <w:bookmarkEnd w:id="1"/>
    <w:p w14:paraId="70E36979" w14:textId="77777777" w:rsidR="00F83DA0" w:rsidRPr="001547AE" w:rsidRDefault="00F83DA0" w:rsidP="00F83DA0">
      <w:pPr>
        <w:rPr>
          <w:rFonts w:asciiTheme="minorHAnsi" w:hAnsiTheme="minorHAnsi" w:cstheme="minorHAnsi"/>
          <w:b/>
          <w:iCs/>
        </w:rPr>
      </w:pPr>
    </w:p>
    <w:p w14:paraId="51E56930"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 xml:space="preserve">Resentencing: Trial court did not err by imposing a determinate sentence for aggravated first degree murder on individuals who were 18 and 20 at the time of offense. </w:t>
      </w:r>
    </w:p>
    <w:p w14:paraId="690149C0"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Resentencing: When an appellate court orders “remand for resentencing” the superior court has broad discretion to resentence on all counts.</w:t>
      </w:r>
    </w:p>
    <w:p w14:paraId="7177397E"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Resentencing: Actions a defendant takes toward self-improvement post sentencing are relevant at resentencing.</w:t>
      </w:r>
    </w:p>
    <w:p w14:paraId="05E58273"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 xml:space="preserve">Community Custody: Trial court erred by imposing a term of community custody where no statute authorizes it for the crime of conviction. </w:t>
      </w:r>
    </w:p>
    <w:p w14:paraId="50CA2A00"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Vacate/Double Jeopardy:  Trial court did not violate double jeopardy by imposing a new sentence without vacating the prior judgment and sentence.</w:t>
      </w:r>
    </w:p>
    <w:p w14:paraId="76BA32FD" w14:textId="22A7829C"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 xml:space="preserve">State v. Carter, State v. </w:t>
      </w:r>
      <w:proofErr w:type="spellStart"/>
      <w:r w:rsidRPr="00F83DA0">
        <w:rPr>
          <w:rFonts w:ascii="Calibri" w:eastAsia="Calibri" w:hAnsi="Calibri"/>
          <w:i/>
          <w:iCs/>
          <w:kern w:val="2"/>
          <w14:ligatures w14:val="standardContextual"/>
        </w:rPr>
        <w:t>Reite</w:t>
      </w:r>
      <w:proofErr w:type="spellEnd"/>
      <w:r w:rsidRPr="00F83DA0">
        <w:rPr>
          <w:rFonts w:ascii="Calibri" w:eastAsia="Calibri" w:hAnsi="Calibri"/>
          <w:kern w:val="2"/>
          <w14:ligatures w14:val="standardContextual"/>
        </w:rPr>
        <w:t xml:space="preserve">, </w:t>
      </w:r>
      <w:r w:rsidR="009079FA" w:rsidRPr="00151AB6">
        <w:rPr>
          <w:rFonts w:asciiTheme="minorHAnsi" w:hAnsiTheme="minorHAnsi" w:cstheme="minorHAnsi"/>
        </w:rPr>
        <w:t>3 Wn.3d 198, 548 P.3d 935 (2024</w:t>
      </w:r>
      <w:r w:rsidR="009079FA">
        <w:rPr>
          <w:rFonts w:asciiTheme="minorHAnsi" w:hAnsiTheme="minorHAnsi" w:cstheme="minorHAnsi"/>
        </w:rPr>
        <w:t>)</w:t>
      </w:r>
      <w:r w:rsidR="009079FA" w:rsidRPr="00F83DA0">
        <w:rPr>
          <w:rFonts w:ascii="Calibri" w:eastAsia="Calibri" w:hAnsi="Calibri"/>
          <w:kern w:val="2"/>
          <w14:ligatures w14:val="standardContextual"/>
        </w:rPr>
        <w:t xml:space="preserve"> </w:t>
      </w:r>
    </w:p>
    <w:p w14:paraId="604310D0"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J. Montoya-Lewis, (with J. Gordon McCloud, Yu, Owens, Whitener): The trial courts resentenced Mr. Carter and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for aggravated murder in the first degree pursuant to </w:t>
      </w:r>
      <w:proofErr w:type="gramStart"/>
      <w:r w:rsidRPr="00F83DA0">
        <w:rPr>
          <w:rFonts w:ascii="Calibri" w:eastAsia="Calibri" w:hAnsi="Calibri"/>
          <w:i/>
          <w:iCs/>
          <w:kern w:val="2"/>
          <w14:ligatures w14:val="standardContextual"/>
        </w:rPr>
        <w:t>In</w:t>
      </w:r>
      <w:proofErr w:type="gramEnd"/>
      <w:r w:rsidRPr="00F83DA0">
        <w:rPr>
          <w:rFonts w:ascii="Calibri" w:eastAsia="Calibri" w:hAnsi="Calibri"/>
          <w:i/>
          <w:iCs/>
          <w:kern w:val="2"/>
          <w14:ligatures w14:val="standardContextual"/>
        </w:rPr>
        <w:t xml:space="preserve"> re </w:t>
      </w:r>
      <w:proofErr w:type="spellStart"/>
      <w:r w:rsidRPr="00F83DA0">
        <w:rPr>
          <w:rFonts w:ascii="Calibri" w:eastAsia="Calibri" w:hAnsi="Calibri"/>
          <w:i/>
          <w:iCs/>
          <w:kern w:val="2"/>
          <w14:ligatures w14:val="standardContextual"/>
        </w:rPr>
        <w:t>Monschke</w:t>
      </w:r>
      <w:proofErr w:type="spellEnd"/>
      <w:r w:rsidRPr="00F83DA0">
        <w:rPr>
          <w:rFonts w:ascii="Calibri" w:eastAsia="Calibri" w:hAnsi="Calibri"/>
          <w:kern w:val="2"/>
          <w14:ligatures w14:val="standardContextual"/>
        </w:rPr>
        <w:t xml:space="preserve">, 197 Wn.2d 305, 307, 326, 482 P.3d 276 (2021). They were both young adults at the time of the offense; Mr. Carter was 18 and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was 20. At their individual resentencing hearing, after they had served decades in prison and were in their 40s and 50s, each of the trial courts imposed determinate sentences.  In Mr. Carter’s case, the trial court also resentenced him on additional felony assault and firearm counts.  In Ms. </w:t>
      </w:r>
      <w:proofErr w:type="spellStart"/>
      <w:r w:rsidRPr="00F83DA0">
        <w:rPr>
          <w:rFonts w:ascii="Calibri" w:eastAsia="Calibri" w:hAnsi="Calibri"/>
          <w:kern w:val="2"/>
          <w14:ligatures w14:val="standardContextual"/>
        </w:rPr>
        <w:t>Reite’s</w:t>
      </w:r>
      <w:proofErr w:type="spellEnd"/>
      <w:r w:rsidRPr="00F83DA0">
        <w:rPr>
          <w:rFonts w:ascii="Calibri" w:eastAsia="Calibri" w:hAnsi="Calibri"/>
          <w:kern w:val="2"/>
          <w14:ligatures w14:val="standardContextual"/>
        </w:rPr>
        <w:t xml:space="preserve"> case, the court also imposed a term of community custody.  </w:t>
      </w:r>
    </w:p>
    <w:p w14:paraId="07E8F3FA"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Facts:</w:t>
      </w:r>
    </w:p>
    <w:p w14:paraId="0EE46D54"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State v. Carter</w:t>
      </w:r>
      <w:r w:rsidRPr="00F83DA0">
        <w:rPr>
          <w:rFonts w:ascii="Calibri" w:eastAsia="Calibri" w:hAnsi="Calibri"/>
          <w:kern w:val="2"/>
          <w14:ligatures w14:val="standardContextual"/>
        </w:rPr>
        <w:t xml:space="preserve">: In 1998, a jury convicted Mr. Carter of aggravated first-degree murder and four counts of first-degree assault with firearm enhancements and unlawful </w:t>
      </w:r>
      <w:r w:rsidRPr="00F83DA0">
        <w:rPr>
          <w:rFonts w:ascii="Calibri" w:eastAsia="Calibri" w:hAnsi="Calibri"/>
          <w:kern w:val="2"/>
          <w14:ligatures w14:val="standardContextual"/>
        </w:rPr>
        <w:lastRenderedPageBreak/>
        <w:t>possession of a firearm. Mr. Carter was two months past his 18</w:t>
      </w:r>
      <w:r w:rsidRPr="00F83DA0">
        <w:rPr>
          <w:rFonts w:ascii="Calibri" w:eastAsia="Calibri" w:hAnsi="Calibri"/>
          <w:kern w:val="2"/>
          <w:vertAlign w:val="superscript"/>
          <w14:ligatures w14:val="standardContextual"/>
        </w:rPr>
        <w:t>th</w:t>
      </w:r>
      <w:r w:rsidRPr="00F83DA0">
        <w:rPr>
          <w:rFonts w:ascii="Calibri" w:eastAsia="Calibri" w:hAnsi="Calibri"/>
          <w:kern w:val="2"/>
          <w14:ligatures w14:val="standardContextual"/>
        </w:rPr>
        <w:t xml:space="preserve"> birthday when he shot a gun at a car carrying five passengers, injuring three and killing one. The trial court imposed the maximum sentence for each count, each to run consecutively, including a mandatory sentence of LWOP for aggravated first degree murder.</w:t>
      </w:r>
    </w:p>
    <w:p w14:paraId="6C42E922"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 xml:space="preserve">State v. </w:t>
      </w:r>
      <w:proofErr w:type="spellStart"/>
      <w:r w:rsidRPr="00F83DA0">
        <w:rPr>
          <w:rFonts w:ascii="Calibri" w:eastAsia="Calibri" w:hAnsi="Calibri"/>
          <w:i/>
          <w:iCs/>
          <w:kern w:val="2"/>
          <w14:ligatures w14:val="standardContextual"/>
        </w:rPr>
        <w:t>Reite</w:t>
      </w:r>
      <w:proofErr w:type="spellEnd"/>
      <w:r w:rsidRPr="00F83DA0">
        <w:rPr>
          <w:rFonts w:ascii="Calibri" w:eastAsia="Calibri" w:hAnsi="Calibri"/>
          <w:kern w:val="2"/>
          <w14:ligatures w14:val="standardContextual"/>
        </w:rPr>
        <w:t xml:space="preserve">: In 1990, a jury convicted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of two counts of aggravated first-degree murder for killing her mother and her mother’s partner as part of a plan to cover up her financial crimes. The trial court imposed a mandatory sentence of LWOP.</w:t>
      </w:r>
    </w:p>
    <w:p w14:paraId="5DF6B157"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 xml:space="preserve">Resentencing Hearing </w:t>
      </w:r>
      <w:r w:rsidRPr="00F83DA0">
        <w:rPr>
          <w:rFonts w:ascii="Calibri" w:eastAsia="Calibri" w:hAnsi="Calibri"/>
          <w:b/>
          <w:bCs/>
          <w:i/>
          <w:iCs/>
          <w:kern w:val="2"/>
          <w14:ligatures w14:val="standardContextual"/>
        </w:rPr>
        <w:t>State v. Carter</w:t>
      </w:r>
    </w:p>
    <w:p w14:paraId="5BFE3756"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The resentencing court found both mitigating circumstances and extraordinary rehabilitation for Mr. Carter and imposed a determinate sentence of 280 months (23 year and 4 </w:t>
      </w:r>
      <w:proofErr w:type="spellStart"/>
      <w:r w:rsidRPr="00F83DA0">
        <w:rPr>
          <w:rFonts w:ascii="Calibri" w:eastAsia="Calibri" w:hAnsi="Calibri"/>
          <w:kern w:val="2"/>
          <w14:ligatures w14:val="standardContextual"/>
        </w:rPr>
        <w:t>mo</w:t>
      </w:r>
      <w:proofErr w:type="spellEnd"/>
      <w:r w:rsidRPr="00F83DA0">
        <w:rPr>
          <w:rFonts w:ascii="Calibri" w:eastAsia="Calibri" w:hAnsi="Calibri"/>
          <w:kern w:val="2"/>
          <w14:ligatures w14:val="standardContextual"/>
        </w:rPr>
        <w:t xml:space="preserve">) plus 60 months for multiple firearm enhancements (run concurrent with each other). The court imposed low end sentences on the assault charges and ran them concurrent with the aggravated first-degree murder sentence; ran the sentence for the firearm enhancements concurrent with each other, but consecutive to the aggravated first-degree murder sentence.   </w:t>
      </w:r>
    </w:p>
    <w:p w14:paraId="429DCB30"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The court found that “the entire circumstances reflect impetuosity, </w:t>
      </w:r>
      <w:proofErr w:type="gramStart"/>
      <w:r w:rsidRPr="00F83DA0">
        <w:rPr>
          <w:rFonts w:ascii="Calibri" w:eastAsia="Calibri" w:hAnsi="Calibri"/>
          <w:kern w:val="2"/>
          <w14:ligatures w14:val="standardContextual"/>
        </w:rPr>
        <w:t>an</w:t>
      </w:r>
      <w:proofErr w:type="gramEnd"/>
      <w:r w:rsidRPr="00F83DA0">
        <w:rPr>
          <w:rFonts w:ascii="Calibri" w:eastAsia="Calibri" w:hAnsi="Calibri"/>
          <w:kern w:val="2"/>
          <w14:ligatures w14:val="standardContextual"/>
        </w:rPr>
        <w:t xml:space="preserve"> clear failure to appreciate risks and consequences.”  Mr. Carter’s crime was committed impulsively, there was no evidence that he considered the risks associated with his behavior, he did not take steps to conceal himself or prevent identification of the car they were in.  Second the court found that nature of Mr. Carter’s surrounding environment “put him at great risk of juvenile crime and materially contributed to his conduct.” He was raised by a single mom, surrounded by violence, poverty, drugs, and gang activity.  He was initiated into a gang at just 11 or 12 years old and remained involved as a means of survival. The court also found that peer pressure affected culpability, recognizing that Mr. Carter was heavily influenced by older members of the gang which impacted his judgment and behavior.</w:t>
      </w:r>
    </w:p>
    <w:p w14:paraId="3A88CE53"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The court also found the Mr. Carter demonstrated significant rehabilitation including efforts to improve himself and others, that he had reflected on the extensive harm caused by his actions, and that he felt great remorse.</w:t>
      </w:r>
    </w:p>
    <w:p w14:paraId="2D60107C" w14:textId="77777777"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 xml:space="preserve">Resentencing Hearing </w:t>
      </w:r>
      <w:r w:rsidRPr="00F83DA0">
        <w:rPr>
          <w:rFonts w:ascii="Calibri" w:eastAsia="Calibri" w:hAnsi="Calibri"/>
          <w:b/>
          <w:bCs/>
          <w:i/>
          <w:iCs/>
          <w:kern w:val="2"/>
          <w14:ligatures w14:val="standardContextual"/>
        </w:rPr>
        <w:t xml:space="preserve">State v. </w:t>
      </w:r>
      <w:proofErr w:type="spellStart"/>
      <w:r w:rsidRPr="00F83DA0">
        <w:rPr>
          <w:rFonts w:ascii="Calibri" w:eastAsia="Calibri" w:hAnsi="Calibri"/>
          <w:b/>
          <w:bCs/>
          <w:i/>
          <w:iCs/>
          <w:kern w:val="2"/>
          <w14:ligatures w14:val="standardContextual"/>
        </w:rPr>
        <w:t>Reite</w:t>
      </w:r>
      <w:proofErr w:type="spellEnd"/>
    </w:p>
    <w:p w14:paraId="59651FB7"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In </w:t>
      </w:r>
      <w:r w:rsidRPr="00F83DA0">
        <w:rPr>
          <w:rFonts w:ascii="Calibri" w:eastAsia="Calibri" w:hAnsi="Calibri"/>
          <w:i/>
          <w:iCs/>
          <w:kern w:val="2"/>
          <w14:ligatures w14:val="standardContextual"/>
        </w:rPr>
        <w:t>State v.</w:t>
      </w:r>
      <w:r w:rsidRPr="00F83DA0">
        <w:rPr>
          <w:rFonts w:ascii="Calibri" w:eastAsia="Calibri" w:hAnsi="Calibri"/>
          <w:kern w:val="2"/>
          <w14:ligatures w14:val="standardContextual"/>
        </w:rPr>
        <w:t xml:space="preserve"> </w:t>
      </w:r>
      <w:proofErr w:type="spellStart"/>
      <w:r w:rsidRPr="00F83DA0">
        <w:rPr>
          <w:rFonts w:ascii="Calibri" w:eastAsia="Calibri" w:hAnsi="Calibri"/>
          <w:i/>
          <w:iCs/>
          <w:kern w:val="2"/>
          <w14:ligatures w14:val="standardContextual"/>
        </w:rPr>
        <w:t>Reite</w:t>
      </w:r>
      <w:proofErr w:type="spellEnd"/>
      <w:r w:rsidRPr="00F83DA0">
        <w:rPr>
          <w:rFonts w:ascii="Calibri" w:eastAsia="Calibri" w:hAnsi="Calibri"/>
          <w:kern w:val="2"/>
          <w14:ligatures w14:val="standardContextual"/>
        </w:rPr>
        <w:t xml:space="preserve">, the court imposed two consecutive </w:t>
      </w:r>
      <w:proofErr w:type="gramStart"/>
      <w:r w:rsidRPr="00F83DA0">
        <w:rPr>
          <w:rFonts w:ascii="Calibri" w:eastAsia="Calibri" w:hAnsi="Calibri"/>
          <w:kern w:val="2"/>
          <w14:ligatures w14:val="standardContextual"/>
        </w:rPr>
        <w:t>280 month</w:t>
      </w:r>
      <w:proofErr w:type="gramEnd"/>
      <w:r w:rsidRPr="00F83DA0">
        <w:rPr>
          <w:rFonts w:ascii="Calibri" w:eastAsia="Calibri" w:hAnsi="Calibri"/>
          <w:kern w:val="2"/>
          <w14:ligatures w14:val="standardContextual"/>
        </w:rPr>
        <w:t xml:space="preserve"> sentences on each count (46 years 8 months), with 36 months of community custody imposed as an exceptional sentence.</w:t>
      </w:r>
    </w:p>
    <w:p w14:paraId="177E91F0"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The resentencing court was not completely persuaded that youthful characteristics were a substantial factor in Ms. </w:t>
      </w:r>
      <w:proofErr w:type="spellStart"/>
      <w:r w:rsidRPr="00F83DA0">
        <w:rPr>
          <w:rFonts w:ascii="Calibri" w:eastAsia="Calibri" w:hAnsi="Calibri"/>
          <w:kern w:val="2"/>
          <w14:ligatures w14:val="standardContextual"/>
        </w:rPr>
        <w:t>Reite’s</w:t>
      </w:r>
      <w:proofErr w:type="spellEnd"/>
      <w:r w:rsidRPr="00F83DA0">
        <w:rPr>
          <w:rFonts w:ascii="Calibri" w:eastAsia="Calibri" w:hAnsi="Calibri"/>
          <w:kern w:val="2"/>
          <w14:ligatures w14:val="standardContextual"/>
        </w:rPr>
        <w:t xml:space="preserve"> crimes but found that she was likely </w:t>
      </w:r>
      <w:proofErr w:type="gramStart"/>
      <w:r w:rsidRPr="00F83DA0">
        <w:rPr>
          <w:rFonts w:ascii="Calibri" w:eastAsia="Calibri" w:hAnsi="Calibri"/>
          <w:kern w:val="2"/>
          <w14:ligatures w14:val="standardContextual"/>
        </w:rPr>
        <w:t>immature</w:t>
      </w:r>
      <w:proofErr w:type="gramEnd"/>
      <w:r w:rsidRPr="00F83DA0">
        <w:rPr>
          <w:rFonts w:ascii="Calibri" w:eastAsia="Calibri" w:hAnsi="Calibri"/>
          <w:kern w:val="2"/>
          <w14:ligatures w14:val="standardContextual"/>
        </w:rPr>
        <w:t xml:space="preserve"> and that rehabilitation and acceptance of responsibility were present and warranted relief.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had a nurturing home environment, her crime stemmed from a situation that </w:t>
      </w:r>
      <w:r w:rsidRPr="00F83DA0">
        <w:rPr>
          <w:rFonts w:ascii="Calibri" w:eastAsia="Calibri" w:hAnsi="Calibri"/>
          <w:kern w:val="2"/>
          <w14:ligatures w14:val="standardContextual"/>
        </w:rPr>
        <w:lastRenderedPageBreak/>
        <w:t xml:space="preserve">snowballed out of control but was not an impetuous act. The court focused on Ms. </w:t>
      </w:r>
      <w:proofErr w:type="spellStart"/>
      <w:r w:rsidRPr="00F83DA0">
        <w:rPr>
          <w:rFonts w:ascii="Calibri" w:eastAsia="Calibri" w:hAnsi="Calibri"/>
          <w:kern w:val="2"/>
          <w14:ligatures w14:val="standardContextual"/>
        </w:rPr>
        <w:t>Riete’s</w:t>
      </w:r>
      <w:proofErr w:type="spellEnd"/>
      <w:r w:rsidRPr="00F83DA0">
        <w:rPr>
          <w:rFonts w:ascii="Calibri" w:eastAsia="Calibri" w:hAnsi="Calibri"/>
          <w:kern w:val="2"/>
          <w14:ligatures w14:val="standardContextual"/>
        </w:rPr>
        <w:t xml:space="preserve"> significant efforts at her own self-improvement and rehabilitation, as well as taking responsibility for her actions and awareness of the impact of her actions on the loved ones of her victims. The resentencing judge noted that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undertook efforts at rehabilitation even when there was no reason to hope for a life outside of prison. </w:t>
      </w:r>
    </w:p>
    <w:p w14:paraId="4B5F79AF" w14:textId="77777777" w:rsidR="00F83DA0" w:rsidRPr="00F83DA0" w:rsidRDefault="00F83DA0" w:rsidP="00F83DA0">
      <w:pPr>
        <w:spacing w:after="160" w:line="259" w:lineRule="auto"/>
        <w:rPr>
          <w:rFonts w:ascii="Calibri" w:eastAsia="Calibri" w:hAnsi="Calibri"/>
          <w:kern w:val="2"/>
          <w:u w:val="single"/>
          <w14:ligatures w14:val="standardContextual"/>
        </w:rPr>
      </w:pPr>
      <w:r w:rsidRPr="00F83DA0">
        <w:rPr>
          <w:rFonts w:ascii="Calibri" w:eastAsia="Calibri" w:hAnsi="Calibri"/>
          <w:kern w:val="2"/>
          <w:u w:val="single"/>
          <w14:ligatures w14:val="standardContextual"/>
        </w:rPr>
        <w:t>Holdings</w:t>
      </w:r>
    </w:p>
    <w:p w14:paraId="28CC0186"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Held</w:t>
      </w:r>
      <w:r w:rsidRPr="00F83DA0">
        <w:rPr>
          <w:rFonts w:ascii="Calibri" w:eastAsia="Calibri" w:hAnsi="Calibri"/>
          <w:kern w:val="2"/>
          <w14:ligatures w14:val="standardContextual"/>
        </w:rPr>
        <w:t xml:space="preserve">, the trial court did not err when it imposed a determinate sentence for Mr. Carter and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for aggravated murder in the first degree. RCW 10.95.030(1) is unconstitutional and invalid as applied to </w:t>
      </w:r>
      <w:proofErr w:type="gramStart"/>
      <w:r w:rsidRPr="00F83DA0">
        <w:rPr>
          <w:rFonts w:ascii="Calibri" w:eastAsia="Calibri" w:hAnsi="Calibri"/>
          <w:kern w:val="2"/>
          <w14:ligatures w14:val="standardContextual"/>
        </w:rPr>
        <w:t>18 and 20 year olds</w:t>
      </w:r>
      <w:proofErr w:type="gramEnd"/>
      <w:r w:rsidRPr="00F83DA0">
        <w:rPr>
          <w:rFonts w:ascii="Calibri" w:eastAsia="Calibri" w:hAnsi="Calibri"/>
          <w:kern w:val="2"/>
          <w14:ligatures w14:val="standardContextual"/>
        </w:rPr>
        <w:t>, but is severable.  LWOP may be imposed but it must be discretionary.  LWOP and anything less than LWOP are available options.</w:t>
      </w:r>
    </w:p>
    <w:p w14:paraId="35632814"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Held</w:t>
      </w:r>
      <w:r w:rsidRPr="00F83DA0">
        <w:rPr>
          <w:rFonts w:ascii="Calibri" w:eastAsia="Calibri" w:hAnsi="Calibri"/>
          <w:kern w:val="2"/>
          <w14:ligatures w14:val="standardContextual"/>
        </w:rPr>
        <w:t xml:space="preserve">, trial court did not err by imposing a lesser sentence for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despite finding that her youth at the time did not substantially mitigate her crimes. The actions a defendant takes toward self-improvement post sentencing are relevant at resentencing.  </w:t>
      </w:r>
    </w:p>
    <w:p w14:paraId="38055C29" w14:textId="77777777" w:rsidR="00F83DA0" w:rsidRPr="00F83DA0" w:rsidRDefault="00F83DA0" w:rsidP="00F83DA0">
      <w:pPr>
        <w:spacing w:after="160" w:line="259" w:lineRule="auto"/>
        <w:ind w:left="720"/>
        <w:rPr>
          <w:rFonts w:ascii="Calibri" w:eastAsia="Calibri" w:hAnsi="Calibri"/>
          <w:kern w:val="2"/>
          <w14:ligatures w14:val="standardContextual"/>
        </w:rPr>
      </w:pPr>
      <w:r w:rsidRPr="00F83DA0">
        <w:rPr>
          <w:rFonts w:ascii="Calibri" w:eastAsia="Calibri" w:hAnsi="Calibri"/>
          <w:kern w:val="2"/>
          <w14:ligatures w14:val="standardContextual"/>
        </w:rPr>
        <w:t xml:space="preserve">“The defendant’s later ability to understand and take responsibility for what they did, and its effects is consistent with our understanding of the features of youth – though youth is accompanied by immaturity, impetuosity, and failure to appreciate risks and consequences, it is also accompanied by heightened capacity for change.” (citing </w:t>
      </w:r>
      <w:r w:rsidRPr="00F83DA0">
        <w:rPr>
          <w:rFonts w:ascii="Calibri" w:eastAsia="Calibri" w:hAnsi="Calibri"/>
          <w:i/>
          <w:iCs/>
          <w:kern w:val="2"/>
          <w14:ligatures w14:val="standardContextual"/>
        </w:rPr>
        <w:t>Miller</w:t>
      </w:r>
      <w:r w:rsidRPr="00F83DA0">
        <w:rPr>
          <w:rFonts w:ascii="Calibri" w:eastAsia="Calibri" w:hAnsi="Calibri"/>
          <w:kern w:val="2"/>
          <w14:ligatures w14:val="standardContextual"/>
        </w:rPr>
        <w:t>)</w:t>
      </w:r>
    </w:p>
    <w:p w14:paraId="40AD6304"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Held</w:t>
      </w:r>
      <w:r w:rsidRPr="00F83DA0">
        <w:rPr>
          <w:rFonts w:ascii="Calibri" w:eastAsia="Calibri" w:hAnsi="Calibri"/>
          <w:kern w:val="2"/>
          <w14:ligatures w14:val="standardContextual"/>
        </w:rPr>
        <w:t xml:space="preserve">, the trial court did not err when it resentenced Mr. Carter on all counts.  When a court vacates a sentence, it vacates the entire judgment. </w:t>
      </w:r>
      <w:proofErr w:type="gramStart"/>
      <w:r w:rsidRPr="00F83DA0">
        <w:rPr>
          <w:rFonts w:ascii="Calibri" w:eastAsia="Calibri" w:hAnsi="Calibri"/>
          <w:kern w:val="2"/>
          <w14:ligatures w14:val="standardContextual"/>
        </w:rPr>
        <w:t>Likewise</w:t>
      </w:r>
      <w:proofErr w:type="gramEnd"/>
      <w:r w:rsidRPr="00F83DA0">
        <w:rPr>
          <w:rFonts w:ascii="Calibri" w:eastAsia="Calibri" w:hAnsi="Calibri"/>
          <w:kern w:val="2"/>
          <w14:ligatures w14:val="standardContextual"/>
        </w:rPr>
        <w:t xml:space="preserve"> when an appellate court orders remand for resentencing, the superior court has broad discretion to resentence on all counts.  </w:t>
      </w:r>
    </w:p>
    <w:p w14:paraId="56BC6D4A"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Held</w:t>
      </w:r>
      <w:r w:rsidRPr="00F83DA0">
        <w:rPr>
          <w:rFonts w:ascii="Calibri" w:eastAsia="Calibri" w:hAnsi="Calibri"/>
          <w:kern w:val="2"/>
          <w14:ligatures w14:val="standardContextual"/>
        </w:rPr>
        <w:t xml:space="preserve">, Actions a defendant takes toward self-improvement post sentencing are relevant at resentencing. </w:t>
      </w:r>
    </w:p>
    <w:p w14:paraId="15B98BBF"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t>Held</w:t>
      </w:r>
      <w:r w:rsidRPr="00F83DA0">
        <w:rPr>
          <w:rFonts w:ascii="Calibri" w:eastAsia="Calibri" w:hAnsi="Calibri"/>
          <w:kern w:val="2"/>
          <w14:ligatures w14:val="standardContextual"/>
        </w:rPr>
        <w:t xml:space="preserve">, </w:t>
      </w:r>
      <w:proofErr w:type="gramStart"/>
      <w:r w:rsidRPr="00F83DA0">
        <w:rPr>
          <w:rFonts w:ascii="Calibri" w:eastAsia="Calibri" w:hAnsi="Calibri"/>
          <w:kern w:val="2"/>
          <w14:ligatures w14:val="standardContextual"/>
        </w:rPr>
        <w:t>The</w:t>
      </w:r>
      <w:proofErr w:type="gramEnd"/>
      <w:r w:rsidRPr="00F83DA0">
        <w:rPr>
          <w:rFonts w:ascii="Calibri" w:eastAsia="Calibri" w:hAnsi="Calibri"/>
          <w:kern w:val="2"/>
          <w14:ligatures w14:val="standardContextual"/>
        </w:rPr>
        <w:t xml:space="preserve"> trial court erred by imposing a term of community custody on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where no statute authorized it for the crime of conviction.</w:t>
      </w:r>
    </w:p>
    <w:p w14:paraId="0A32EC64"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J. Gonzales (concurrence): Mr. Carter and Ms. </w:t>
      </w:r>
      <w:proofErr w:type="spellStart"/>
      <w:r w:rsidRPr="00F83DA0">
        <w:rPr>
          <w:rFonts w:ascii="Calibri" w:eastAsia="Calibri" w:hAnsi="Calibri"/>
          <w:kern w:val="2"/>
          <w14:ligatures w14:val="standardContextual"/>
        </w:rPr>
        <w:t>Reite</w:t>
      </w:r>
      <w:proofErr w:type="spellEnd"/>
      <w:r w:rsidRPr="00F83DA0">
        <w:rPr>
          <w:rFonts w:ascii="Calibri" w:eastAsia="Calibri" w:hAnsi="Calibri"/>
          <w:kern w:val="2"/>
          <w14:ligatures w14:val="standardContextual"/>
        </w:rPr>
        <w:t xml:space="preserve"> should be resentenced, and trial courts have discretion under existing law to impose a determinate sentence. It would be an abuse of discretion for a judge to impose a sentence below the minimum term of 25 years because the legislature set forth the minimum sentence a child may receive for aggravated first degree murder.  See RCW 10.95.030(2).  Mr. Carter received less than the statutory minimum a </w:t>
      </w:r>
      <w:proofErr w:type="gramStart"/>
      <w:r w:rsidRPr="00F83DA0">
        <w:rPr>
          <w:rFonts w:ascii="Calibri" w:eastAsia="Calibri" w:hAnsi="Calibri"/>
          <w:kern w:val="2"/>
          <w14:ligatures w14:val="standardContextual"/>
        </w:rPr>
        <w:t>14 year old</w:t>
      </w:r>
      <w:proofErr w:type="gramEnd"/>
      <w:r w:rsidRPr="00F83DA0">
        <w:rPr>
          <w:rFonts w:ascii="Calibri" w:eastAsia="Calibri" w:hAnsi="Calibri"/>
          <w:kern w:val="2"/>
          <w14:ligatures w14:val="standardContextual"/>
        </w:rPr>
        <w:t xml:space="preserve"> would have gotten, so the sentencing court abused its discretion as to him, but since the court imposed a consecutive 60 month sentence for enhancements, the abuse of discretion was harmless since his entire sentence exceeded 25 years.</w:t>
      </w:r>
    </w:p>
    <w:p w14:paraId="5EA36F2D"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lastRenderedPageBreak/>
        <w:t xml:space="preserve">J. Madsen (dissent, with Johnson and Stephens): </w:t>
      </w:r>
      <w:r w:rsidRPr="00F83DA0">
        <w:rPr>
          <w:rFonts w:ascii="Calibri" w:eastAsia="Calibri" w:hAnsi="Calibri"/>
          <w:i/>
          <w:iCs/>
          <w:kern w:val="2"/>
          <w14:ligatures w14:val="standardContextual"/>
        </w:rPr>
        <w:t xml:space="preserve">In re </w:t>
      </w:r>
      <w:proofErr w:type="spellStart"/>
      <w:r w:rsidRPr="00F83DA0">
        <w:rPr>
          <w:rFonts w:ascii="Calibri" w:eastAsia="Calibri" w:hAnsi="Calibri"/>
          <w:i/>
          <w:iCs/>
          <w:kern w:val="2"/>
          <w14:ligatures w14:val="standardContextual"/>
        </w:rPr>
        <w:t>Monschke</w:t>
      </w:r>
      <w:proofErr w:type="spellEnd"/>
      <w:r w:rsidRPr="00F83DA0">
        <w:rPr>
          <w:rFonts w:ascii="Calibri" w:eastAsia="Calibri" w:hAnsi="Calibri"/>
          <w:kern w:val="2"/>
          <w14:ligatures w14:val="standardContextual"/>
        </w:rPr>
        <w:t xml:space="preserve"> invalidated a mandatory LWOP sentence but did not and could not establish a constitutionally permissible sentence. </w:t>
      </w:r>
      <w:proofErr w:type="spellStart"/>
      <w:r w:rsidRPr="00F83DA0">
        <w:rPr>
          <w:rFonts w:ascii="Calibri" w:eastAsia="Calibri" w:hAnsi="Calibri"/>
          <w:i/>
          <w:iCs/>
          <w:kern w:val="2"/>
          <w14:ligatures w14:val="standardContextual"/>
        </w:rPr>
        <w:t>Monschke</w:t>
      </w:r>
      <w:proofErr w:type="spellEnd"/>
      <w:r w:rsidRPr="00F83DA0">
        <w:rPr>
          <w:rFonts w:ascii="Calibri" w:eastAsia="Calibri" w:hAnsi="Calibri"/>
          <w:kern w:val="2"/>
          <w14:ligatures w14:val="standardContextual"/>
        </w:rPr>
        <w:t xml:space="preserve"> created a sentencing gap, and because lawmakers have yet to fill that gap, this court must do so. If the majority’s assumption that </w:t>
      </w:r>
      <w:proofErr w:type="spellStart"/>
      <w:r w:rsidRPr="00F83DA0">
        <w:rPr>
          <w:rFonts w:ascii="Calibri" w:eastAsia="Calibri" w:hAnsi="Calibri"/>
          <w:i/>
          <w:iCs/>
          <w:kern w:val="2"/>
          <w14:ligatures w14:val="standardContextual"/>
        </w:rPr>
        <w:t>Monschke</w:t>
      </w:r>
      <w:proofErr w:type="spellEnd"/>
      <w:r w:rsidRPr="00F83DA0">
        <w:rPr>
          <w:rFonts w:ascii="Calibri" w:eastAsia="Calibri" w:hAnsi="Calibri"/>
          <w:kern w:val="2"/>
          <w14:ligatures w14:val="standardContextual"/>
        </w:rPr>
        <w:t xml:space="preserve"> establishes precedent (and J. Madsen does not believe </w:t>
      </w:r>
      <w:proofErr w:type="spellStart"/>
      <w:r w:rsidRPr="00F83DA0">
        <w:rPr>
          <w:rFonts w:ascii="Calibri" w:eastAsia="Calibri" w:hAnsi="Calibri"/>
          <w:i/>
          <w:iCs/>
          <w:kern w:val="2"/>
          <w14:ligatures w14:val="standardContextual"/>
        </w:rPr>
        <w:t>Monschke</w:t>
      </w:r>
      <w:proofErr w:type="spellEnd"/>
      <w:r w:rsidRPr="00F83DA0">
        <w:rPr>
          <w:rFonts w:ascii="Calibri" w:eastAsia="Calibri" w:hAnsi="Calibri"/>
          <w:kern w:val="2"/>
          <w14:ligatures w14:val="standardContextual"/>
        </w:rPr>
        <w:t xml:space="preserve"> established precedent, it was a plurality opinion), we should fill in the gap by applying the </w:t>
      </w:r>
      <w:r w:rsidRPr="00F83DA0">
        <w:rPr>
          <w:rFonts w:ascii="Calibri" w:eastAsia="Calibri" w:hAnsi="Calibri"/>
          <w:i/>
          <w:iCs/>
          <w:kern w:val="2"/>
          <w14:ligatures w14:val="standardContextual"/>
        </w:rPr>
        <w:t>Miller</w:t>
      </w:r>
      <w:r w:rsidRPr="00F83DA0">
        <w:rPr>
          <w:rFonts w:ascii="Calibri" w:eastAsia="Calibri" w:hAnsi="Calibri"/>
          <w:kern w:val="2"/>
          <w14:ligatures w14:val="standardContextual"/>
        </w:rPr>
        <w:t xml:space="preserve"> fix provision in 10.95.030(2) to “any person convicted” of aggravated first-degree murder in 10.95.030(1), and young adults (ages 18-20 years old) would receive the same standard range as juveniles, permitting courts to consider youth as a mitigating factor. The majority result creates a sentence that is harsher for juveniles under 18 than older youths and adults.</w:t>
      </w:r>
    </w:p>
    <w:p w14:paraId="3EECE9B0" w14:textId="77777777" w:rsidR="00F83DA0" w:rsidRPr="00F83DA0" w:rsidRDefault="00F83DA0" w:rsidP="00F83DA0">
      <w:pPr>
        <w:spacing w:after="160" w:line="259" w:lineRule="auto"/>
        <w:rPr>
          <w:rFonts w:ascii="Calibri" w:eastAsia="Calibri" w:hAnsi="Calibri"/>
          <w:b/>
          <w:bCs/>
          <w:kern w:val="2"/>
          <w:sz w:val="22"/>
          <w:szCs w:val="22"/>
          <w14:ligatures w14:val="standardContextual"/>
        </w:rPr>
      </w:pPr>
    </w:p>
    <w:p w14:paraId="11B21010" w14:textId="77777777" w:rsidR="00F83DA0" w:rsidRPr="007A5DD8" w:rsidRDefault="00F83DA0" w:rsidP="00F83DA0">
      <w:pPr>
        <w:rPr>
          <w:rFonts w:ascii="Calibri" w:hAnsi="Calibri" w:cs="Calibri"/>
          <w:b/>
          <w:iCs/>
        </w:rPr>
      </w:pPr>
      <w:r w:rsidRPr="007A5DD8">
        <w:rPr>
          <w:rFonts w:ascii="Calibri" w:hAnsi="Calibri" w:cs="Calibri"/>
          <w:b/>
          <w:iCs/>
        </w:rPr>
        <w:t xml:space="preserve">Appeal/Post Conviction:  </w:t>
      </w:r>
      <w:r>
        <w:rPr>
          <w:rFonts w:ascii="Calibri" w:hAnsi="Calibri" w:cs="Calibri"/>
          <w:b/>
          <w:iCs/>
        </w:rPr>
        <w:t xml:space="preserve">A judgement and sentence imposed using </w:t>
      </w:r>
      <w:r w:rsidRPr="007A5DD8">
        <w:rPr>
          <w:rFonts w:ascii="Calibri" w:hAnsi="Calibri" w:cs="Calibri"/>
          <w:b/>
          <w:iCs/>
        </w:rPr>
        <w:t>incorrect offender score and standard range information is invalid on its face. The defendant’s agreement to an exceptional sentence above the range does not change this result.</w:t>
      </w:r>
    </w:p>
    <w:p w14:paraId="771EFB58" w14:textId="77777777" w:rsidR="00F83DA0" w:rsidRPr="007A5DD8" w:rsidRDefault="00F83DA0" w:rsidP="00F83DA0">
      <w:pPr>
        <w:rPr>
          <w:rFonts w:ascii="Calibri" w:hAnsi="Calibri" w:cs="Calibri"/>
          <w:b/>
          <w:iCs/>
        </w:rPr>
      </w:pPr>
    </w:p>
    <w:p w14:paraId="7A9D4E62" w14:textId="43567403" w:rsidR="00F83DA0" w:rsidRPr="007A5DD8" w:rsidRDefault="00F83DA0" w:rsidP="00F83DA0">
      <w:pPr>
        <w:rPr>
          <w:rFonts w:ascii="Calibri" w:hAnsi="Calibri" w:cs="Calibri"/>
          <w:b/>
          <w:iCs/>
        </w:rPr>
      </w:pPr>
      <w:r w:rsidRPr="00F83DA0">
        <w:rPr>
          <w:rFonts w:ascii="Calibri" w:hAnsi="Calibri" w:cs="Calibri"/>
          <w:bCs/>
          <w:i/>
        </w:rPr>
        <w:t>In re PRP of Fletcher</w:t>
      </w:r>
      <w:r w:rsidRPr="007A5DD8">
        <w:rPr>
          <w:rFonts w:ascii="Calibri" w:hAnsi="Calibri" w:cs="Calibri"/>
          <w:bCs/>
          <w:iCs/>
        </w:rPr>
        <w:t xml:space="preserve">, </w:t>
      </w:r>
      <w:r>
        <w:rPr>
          <w:rFonts w:ascii="Calibri" w:hAnsi="Calibri" w:cs="Calibri"/>
          <w:bCs/>
          <w:iCs/>
        </w:rPr>
        <w:t>3 Wn.3d 356, 552 P.3d 302</w:t>
      </w:r>
      <w:r w:rsidRPr="007A5DD8">
        <w:rPr>
          <w:rFonts w:ascii="Calibri" w:hAnsi="Calibri" w:cs="Calibri"/>
          <w:bCs/>
          <w:iCs/>
        </w:rPr>
        <w:t xml:space="preserve"> (2024) (J</w:t>
      </w:r>
      <w:r>
        <w:rPr>
          <w:rFonts w:ascii="Calibri" w:hAnsi="Calibri" w:cs="Calibri"/>
          <w:bCs/>
          <w:iCs/>
        </w:rPr>
        <w:t xml:space="preserve">. </w:t>
      </w:r>
      <w:r w:rsidRPr="007A5DD8">
        <w:rPr>
          <w:rFonts w:ascii="Calibri" w:hAnsi="Calibri" w:cs="Calibri"/>
          <w:bCs/>
          <w:iCs/>
        </w:rPr>
        <w:t>Gordon McCloud, with Montoya-Lewis, Owens, Johnson, and Rumbaugh (JPT)</w:t>
      </w:r>
      <w:r>
        <w:rPr>
          <w:rFonts w:ascii="Calibri" w:hAnsi="Calibri" w:cs="Calibri"/>
          <w:bCs/>
          <w:iCs/>
        </w:rPr>
        <w:t>)</w:t>
      </w:r>
      <w:r w:rsidRPr="007A5DD8">
        <w:rPr>
          <w:rFonts w:ascii="Calibri" w:hAnsi="Calibri" w:cs="Calibri"/>
          <w:bCs/>
          <w:iCs/>
        </w:rPr>
        <w:t>.</w:t>
      </w:r>
    </w:p>
    <w:p w14:paraId="7FD509B2" w14:textId="28F4686A" w:rsidR="00F83DA0" w:rsidRPr="007A5DD8" w:rsidRDefault="00F83DA0" w:rsidP="00F83DA0">
      <w:pPr>
        <w:rPr>
          <w:rFonts w:ascii="Calibri" w:hAnsi="Calibri" w:cs="Calibri"/>
          <w:bCs/>
          <w:iCs/>
        </w:rPr>
      </w:pPr>
      <w:r w:rsidRPr="007A5DD8">
        <w:rPr>
          <w:rFonts w:ascii="Calibri" w:hAnsi="Calibri" w:cs="Calibri"/>
          <w:bCs/>
          <w:iCs/>
        </w:rPr>
        <w:br/>
        <w:t xml:space="preserve">In 2015, the State prosecuted Mr. Fletcher for first degree assault. After plea negotiations, the prosecutor amended the charges to assault in the second degree with a firearm enhancement and unlawful possession of a firearm in the first degree. Mr. Fletcher entered an </w:t>
      </w:r>
      <w:r w:rsidRPr="007A5DD8">
        <w:rPr>
          <w:rFonts w:ascii="Calibri" w:hAnsi="Calibri" w:cs="Calibri"/>
          <w:bCs/>
          <w:i/>
        </w:rPr>
        <w:t>Alford</w:t>
      </w:r>
      <w:r w:rsidRPr="007A5DD8">
        <w:rPr>
          <w:rFonts w:ascii="Calibri" w:hAnsi="Calibri" w:cs="Calibri"/>
          <w:bCs/>
          <w:iCs/>
        </w:rPr>
        <w:t xml:space="preserve"> plea and</w:t>
      </w:r>
      <w:r>
        <w:rPr>
          <w:rFonts w:ascii="Calibri" w:hAnsi="Calibri" w:cs="Calibri"/>
          <w:bCs/>
          <w:iCs/>
        </w:rPr>
        <w:t>,</w:t>
      </w:r>
      <w:r w:rsidRPr="007A5DD8">
        <w:rPr>
          <w:rFonts w:ascii="Calibri" w:hAnsi="Calibri" w:cs="Calibri"/>
          <w:bCs/>
          <w:iCs/>
        </w:rPr>
        <w:t xml:space="preserve"> pursuant to the plea agreement, agreed there was a basis for an exceptional sentence above the standard range</w:t>
      </w:r>
      <w:r>
        <w:rPr>
          <w:rFonts w:ascii="Calibri" w:hAnsi="Calibri" w:cs="Calibri"/>
          <w:bCs/>
          <w:iCs/>
        </w:rPr>
        <w:t>.  The plea agreement did not require an agreed sentence recommendation</w:t>
      </w:r>
      <w:r w:rsidRPr="007A5DD8">
        <w:rPr>
          <w:rFonts w:ascii="Calibri" w:hAnsi="Calibri" w:cs="Calibri"/>
          <w:bCs/>
          <w:iCs/>
        </w:rPr>
        <w:t>. The court imposed</w:t>
      </w:r>
      <w:r w:rsidRPr="00B46CFA">
        <w:rPr>
          <w:rFonts w:ascii="Calibri" w:hAnsi="Calibri" w:cs="Calibri"/>
          <w:bCs/>
          <w:iCs/>
        </w:rPr>
        <w:t xml:space="preserve"> </w:t>
      </w:r>
      <w:r w:rsidRPr="007A5DD8">
        <w:rPr>
          <w:rFonts w:ascii="Calibri" w:hAnsi="Calibri" w:cs="Calibri"/>
          <w:bCs/>
          <w:iCs/>
        </w:rPr>
        <w:t xml:space="preserve">an exceptional </w:t>
      </w:r>
      <w:r>
        <w:rPr>
          <w:rFonts w:ascii="Calibri" w:hAnsi="Calibri" w:cs="Calibri"/>
          <w:bCs/>
          <w:iCs/>
        </w:rPr>
        <w:t xml:space="preserve">above the range, imposing 120 months, </w:t>
      </w:r>
      <w:r w:rsidRPr="007A5DD8">
        <w:rPr>
          <w:rFonts w:ascii="Calibri" w:hAnsi="Calibri" w:cs="Calibri"/>
          <w:bCs/>
          <w:iCs/>
        </w:rPr>
        <w:t xml:space="preserve">the statutory maximum for assault </w:t>
      </w:r>
      <w:r>
        <w:rPr>
          <w:rFonts w:ascii="Calibri" w:hAnsi="Calibri" w:cs="Calibri"/>
          <w:bCs/>
          <w:iCs/>
        </w:rPr>
        <w:t>two</w:t>
      </w:r>
      <w:r w:rsidRPr="007A5DD8">
        <w:rPr>
          <w:rFonts w:ascii="Calibri" w:hAnsi="Calibri" w:cs="Calibri"/>
          <w:bCs/>
          <w:iCs/>
        </w:rPr>
        <w:t xml:space="preserve">.  In 2019, Mr. Fletcher filed </w:t>
      </w:r>
      <w:r>
        <w:rPr>
          <w:rFonts w:ascii="Calibri" w:hAnsi="Calibri" w:cs="Calibri"/>
          <w:bCs/>
          <w:iCs/>
        </w:rPr>
        <w:t xml:space="preserve">a </w:t>
      </w:r>
      <w:proofErr w:type="spellStart"/>
      <w:r>
        <w:rPr>
          <w:rFonts w:ascii="Calibri" w:hAnsi="Calibri" w:cs="Calibri"/>
          <w:bCs/>
          <w:iCs/>
        </w:rPr>
        <w:t>CrR</w:t>
      </w:r>
      <w:proofErr w:type="spellEnd"/>
      <w:r w:rsidRPr="007A5DD8">
        <w:rPr>
          <w:rFonts w:ascii="Calibri" w:hAnsi="Calibri" w:cs="Calibri"/>
          <w:bCs/>
          <w:iCs/>
        </w:rPr>
        <w:t xml:space="preserve"> 7.8 motion arguing the offender score and range were incorrect</w:t>
      </w:r>
      <w:r>
        <w:rPr>
          <w:rFonts w:ascii="Calibri" w:hAnsi="Calibri" w:cs="Calibri"/>
          <w:bCs/>
          <w:iCs/>
        </w:rPr>
        <w:t xml:space="preserve"> because the trial court included washed out offenses in his original offender score</w:t>
      </w:r>
      <w:r w:rsidRPr="007A5DD8">
        <w:rPr>
          <w:rFonts w:ascii="Calibri" w:hAnsi="Calibri" w:cs="Calibri"/>
          <w:bCs/>
          <w:iCs/>
        </w:rPr>
        <w:t xml:space="preserve">.  The trial court </w:t>
      </w:r>
      <w:r>
        <w:rPr>
          <w:rFonts w:ascii="Calibri" w:hAnsi="Calibri" w:cs="Calibri"/>
          <w:bCs/>
          <w:iCs/>
        </w:rPr>
        <w:t xml:space="preserve">granted the 7.8 motion </w:t>
      </w:r>
      <w:r w:rsidRPr="007A5DD8">
        <w:rPr>
          <w:rFonts w:ascii="Calibri" w:hAnsi="Calibri" w:cs="Calibri"/>
          <w:bCs/>
          <w:iCs/>
        </w:rPr>
        <w:t>and resentenced Mr. Fletcher to a lower</w:t>
      </w:r>
      <w:r>
        <w:rPr>
          <w:rFonts w:ascii="Calibri" w:hAnsi="Calibri" w:cs="Calibri"/>
          <w:bCs/>
          <w:iCs/>
        </w:rPr>
        <w:t>,</w:t>
      </w:r>
      <w:r w:rsidRPr="007A5DD8">
        <w:rPr>
          <w:rFonts w:ascii="Calibri" w:hAnsi="Calibri" w:cs="Calibri"/>
          <w:bCs/>
          <w:iCs/>
        </w:rPr>
        <w:t xml:space="preserve"> standard range sentence.  </w:t>
      </w:r>
      <w:r>
        <w:rPr>
          <w:rFonts w:ascii="Calibri" w:hAnsi="Calibri" w:cs="Calibri"/>
          <w:bCs/>
          <w:iCs/>
        </w:rPr>
        <w:t>The State appealed and although t</w:t>
      </w:r>
      <w:r w:rsidRPr="007A5DD8">
        <w:rPr>
          <w:rFonts w:ascii="Calibri" w:hAnsi="Calibri" w:cs="Calibri"/>
          <w:bCs/>
          <w:iCs/>
        </w:rPr>
        <w:t>he Court of Appeals agreed the J &amp; S was invalid</w:t>
      </w:r>
      <w:r>
        <w:rPr>
          <w:rFonts w:ascii="Calibri" w:hAnsi="Calibri" w:cs="Calibri"/>
          <w:bCs/>
          <w:iCs/>
        </w:rPr>
        <w:t>, it</w:t>
      </w:r>
      <w:r w:rsidRPr="007A5DD8">
        <w:rPr>
          <w:rFonts w:ascii="Calibri" w:hAnsi="Calibri" w:cs="Calibri"/>
          <w:bCs/>
          <w:iCs/>
        </w:rPr>
        <w:t xml:space="preserve"> found Mr. Fletcher’s 7.8 was improperly successive and ordered remand for the trial court to reimpose the original sentence. Mr. Fletche</w:t>
      </w:r>
      <w:r>
        <w:rPr>
          <w:rFonts w:ascii="Calibri" w:hAnsi="Calibri" w:cs="Calibri"/>
          <w:bCs/>
          <w:iCs/>
        </w:rPr>
        <w:t>r</w:t>
      </w:r>
      <w:r w:rsidRPr="007A5DD8">
        <w:rPr>
          <w:rFonts w:ascii="Calibri" w:hAnsi="Calibri" w:cs="Calibri"/>
          <w:bCs/>
          <w:iCs/>
        </w:rPr>
        <w:t xml:space="preserve"> filed a Petition for Review with the Washington Supreme Court</w:t>
      </w:r>
      <w:r>
        <w:rPr>
          <w:rFonts w:ascii="Calibri" w:hAnsi="Calibri" w:cs="Calibri"/>
          <w:bCs/>
          <w:iCs/>
        </w:rPr>
        <w:t xml:space="preserve">. The Washington Supreme Court denied the </w:t>
      </w:r>
      <w:proofErr w:type="gramStart"/>
      <w:r>
        <w:rPr>
          <w:rFonts w:ascii="Calibri" w:hAnsi="Calibri" w:cs="Calibri"/>
          <w:bCs/>
          <w:iCs/>
        </w:rPr>
        <w:t>PFR</w:t>
      </w:r>
      <w:proofErr w:type="gramEnd"/>
      <w:r>
        <w:rPr>
          <w:rFonts w:ascii="Calibri" w:hAnsi="Calibri" w:cs="Calibri"/>
          <w:bCs/>
          <w:iCs/>
        </w:rPr>
        <w:t xml:space="preserve"> and a mandate issued </w:t>
      </w:r>
      <w:r w:rsidRPr="007A5DD8">
        <w:rPr>
          <w:rFonts w:ascii="Calibri" w:hAnsi="Calibri" w:cs="Calibri"/>
          <w:bCs/>
          <w:iCs/>
        </w:rPr>
        <w:t xml:space="preserve">in July 2022.  In August 2022, Mr. Fletcher filed a PRP directly into the WA Supreme Court, re-raising the issues of offender score and standard range calculation problems. The Washington Supreme Court transferred the case to the Court of Appeals, which transferred it back to the Washington Supreme Court because the PRP was </w:t>
      </w:r>
      <w:proofErr w:type="gramStart"/>
      <w:r w:rsidRPr="007A5DD8">
        <w:rPr>
          <w:rFonts w:ascii="Calibri" w:hAnsi="Calibri" w:cs="Calibri"/>
          <w:bCs/>
          <w:iCs/>
        </w:rPr>
        <w:t>successive</w:t>
      </w:r>
      <w:r>
        <w:rPr>
          <w:rFonts w:ascii="Calibri" w:hAnsi="Calibri" w:cs="Calibri"/>
          <w:bCs/>
          <w:iCs/>
        </w:rPr>
        <w:t>,</w:t>
      </w:r>
      <w:r w:rsidRPr="007A5DD8">
        <w:rPr>
          <w:rFonts w:ascii="Calibri" w:hAnsi="Calibri" w:cs="Calibri"/>
          <w:bCs/>
          <w:iCs/>
        </w:rPr>
        <w:t xml:space="preserve"> but</w:t>
      </w:r>
      <w:proofErr w:type="gramEnd"/>
      <w:r w:rsidRPr="007A5DD8">
        <w:rPr>
          <w:rFonts w:ascii="Calibri" w:hAnsi="Calibri" w:cs="Calibri"/>
          <w:bCs/>
          <w:iCs/>
        </w:rPr>
        <w:t xml:space="preserve"> raised a potentially meritorious claim.</w:t>
      </w:r>
    </w:p>
    <w:p w14:paraId="2AE1FADC" w14:textId="77777777" w:rsidR="00F83DA0" w:rsidRPr="007A5DD8" w:rsidRDefault="00F83DA0" w:rsidP="00F83DA0">
      <w:pPr>
        <w:rPr>
          <w:rFonts w:ascii="Calibri" w:hAnsi="Calibri" w:cs="Calibri"/>
          <w:bCs/>
          <w:iCs/>
        </w:rPr>
      </w:pPr>
    </w:p>
    <w:p w14:paraId="3A6193E0" w14:textId="77777777" w:rsidR="00F83DA0" w:rsidRPr="007A5DD8" w:rsidRDefault="00F83DA0" w:rsidP="00F83DA0">
      <w:pPr>
        <w:rPr>
          <w:rFonts w:ascii="Calibri" w:hAnsi="Calibri" w:cs="Calibri"/>
          <w:bCs/>
          <w:iCs/>
        </w:rPr>
      </w:pPr>
      <w:r w:rsidRPr="007A5DD8">
        <w:rPr>
          <w:rFonts w:ascii="Calibri" w:hAnsi="Calibri" w:cs="Calibri"/>
          <w:bCs/>
          <w:i/>
        </w:rPr>
        <w:t>Held</w:t>
      </w:r>
      <w:r w:rsidRPr="007A5DD8">
        <w:rPr>
          <w:rFonts w:ascii="Calibri" w:hAnsi="Calibri" w:cs="Calibri"/>
          <w:bCs/>
          <w:iCs/>
        </w:rPr>
        <w:t xml:space="preserve">, the PRP is exempt from the one-year time limit because the J &amp; S is invalid on its face. The facial error </w:t>
      </w:r>
      <w:r>
        <w:rPr>
          <w:rFonts w:ascii="Calibri" w:hAnsi="Calibri" w:cs="Calibri"/>
          <w:bCs/>
          <w:iCs/>
        </w:rPr>
        <w:t xml:space="preserve">(the incorrect score and range) </w:t>
      </w:r>
      <w:r w:rsidRPr="007A5DD8">
        <w:rPr>
          <w:rFonts w:ascii="Calibri" w:hAnsi="Calibri" w:cs="Calibri"/>
          <w:bCs/>
          <w:iCs/>
        </w:rPr>
        <w:t xml:space="preserve">on the J &amp; S constitutes a fundamental defect that inherently resulted in a complete miscarriage of justice. A court </w:t>
      </w:r>
      <w:r w:rsidRPr="007A5DD8">
        <w:rPr>
          <w:rFonts w:ascii="Calibri" w:hAnsi="Calibri" w:cs="Calibri"/>
          <w:bCs/>
          <w:iCs/>
        </w:rPr>
        <w:lastRenderedPageBreak/>
        <w:t>acts without statutory authority when it imposes a sentence based on an upwardly miscalculated offender score, even if the defendant agrees to that sentence.</w:t>
      </w:r>
    </w:p>
    <w:p w14:paraId="4C72DCEE" w14:textId="77777777" w:rsidR="00F83DA0" w:rsidRPr="007A5DD8" w:rsidRDefault="00F83DA0" w:rsidP="00F83DA0">
      <w:pPr>
        <w:rPr>
          <w:rFonts w:ascii="Calibri" w:hAnsi="Calibri" w:cs="Calibri"/>
          <w:bCs/>
          <w:iCs/>
        </w:rPr>
      </w:pPr>
    </w:p>
    <w:p w14:paraId="6D926728" w14:textId="77777777" w:rsidR="00F83DA0" w:rsidRPr="007A5DD8" w:rsidRDefault="00F83DA0" w:rsidP="00F83DA0">
      <w:pPr>
        <w:rPr>
          <w:rFonts w:ascii="Calibri" w:hAnsi="Calibri" w:cs="Calibri"/>
          <w:b/>
          <w:iCs/>
        </w:rPr>
      </w:pPr>
    </w:p>
    <w:p w14:paraId="248C5B6D" w14:textId="77777777" w:rsidR="00F83DA0" w:rsidRDefault="00F83DA0" w:rsidP="00F83DA0">
      <w:r w:rsidRPr="007A5DD8">
        <w:rPr>
          <w:rFonts w:ascii="Calibri" w:hAnsi="Calibri" w:cs="Calibri"/>
        </w:rPr>
        <w:t>Dissent (J. Stephens</w:t>
      </w:r>
      <w:r>
        <w:rPr>
          <w:rFonts w:ascii="Calibri" w:hAnsi="Calibri" w:cs="Calibri"/>
        </w:rPr>
        <w:t>, with Madsen</w:t>
      </w:r>
      <w:r w:rsidRPr="007A5DD8">
        <w:rPr>
          <w:rFonts w:ascii="Calibri" w:hAnsi="Calibri" w:cs="Calibri"/>
        </w:rPr>
        <w:t xml:space="preserve">) </w:t>
      </w:r>
      <w:r w:rsidRPr="00625FB7">
        <w:rPr>
          <w:rFonts w:ascii="Calibri" w:hAnsi="Calibri" w:cs="Calibri"/>
        </w:rPr>
        <w:t>A judgment and sentence is invalid on its face only when a sentencing court imposes a sentence that exceeds its statutory authority and is unlawful</w:t>
      </w:r>
      <w:r w:rsidRPr="007A5DD8">
        <w:rPr>
          <w:rFonts w:ascii="Calibri" w:hAnsi="Calibri" w:cs="Calibri"/>
        </w:rPr>
        <w:t>.</w:t>
      </w:r>
      <w:r>
        <w:rPr>
          <w:rFonts w:ascii="Calibri" w:hAnsi="Calibri" w:cs="Calibri"/>
        </w:rPr>
        <w:t xml:space="preserve">  Here, the sentence is lawful, even though the court arrived at the sentence based on misinformation and a miscalculation of the offender score and standard range.</w:t>
      </w:r>
      <w:r w:rsidRPr="007A5DD8">
        <w:rPr>
          <w:rFonts w:ascii="Calibri" w:hAnsi="Calibri" w:cs="Calibri"/>
        </w:rPr>
        <w:t xml:space="preserve"> </w:t>
      </w:r>
      <w:r>
        <w:rPr>
          <w:rFonts w:ascii="Calibri" w:hAnsi="Calibri" w:cs="Calibri"/>
        </w:rPr>
        <w:t>Finality prevails over error correction.</w:t>
      </w:r>
      <w:r w:rsidRPr="00625FB7">
        <w:t xml:space="preserve"> </w:t>
      </w:r>
      <w:r>
        <w:t>T</w:t>
      </w:r>
      <w:r w:rsidRPr="00625FB7">
        <w:rPr>
          <w:rFonts w:ascii="Calibri" w:hAnsi="Calibri" w:cs="Calibri"/>
        </w:rPr>
        <w:t>he majority’s new “startling” error test deviates dramatically from this standard and will result in reopening lawful, authorized final sentence</w:t>
      </w:r>
      <w:r>
        <w:rPr>
          <w:rFonts w:ascii="Calibri" w:hAnsi="Calibri" w:cs="Calibri"/>
        </w:rPr>
        <w:t>s.</w:t>
      </w:r>
      <w:r w:rsidRPr="004B66CC">
        <w:t xml:space="preserve"> </w:t>
      </w:r>
    </w:p>
    <w:p w14:paraId="379C1BAC" w14:textId="77777777" w:rsidR="00F83DA0" w:rsidRDefault="00F83DA0" w:rsidP="00F83DA0"/>
    <w:p w14:paraId="7ADE5C5D" w14:textId="77777777" w:rsidR="00F83DA0" w:rsidRDefault="00F83DA0" w:rsidP="00F83DA0">
      <w:pPr>
        <w:ind w:left="720"/>
        <w:rPr>
          <w:rFonts w:ascii="Calibri" w:hAnsi="Calibri" w:cs="Calibri"/>
        </w:rPr>
      </w:pPr>
      <w:r w:rsidRPr="004B66CC">
        <w:rPr>
          <w:rFonts w:ascii="Calibri" w:hAnsi="Calibri" w:cs="Calibri"/>
        </w:rPr>
        <w:t xml:space="preserve">Given the number of final judgments that include a now invalid simple drug possession conviction in the defendant’s criminal history score, the impact of today’s decision will reach back decades and unnecessarily disrupt the balance between finality and protecting individuals from unlawful confinement. This balance is reflected in the carefully crafted time bar rules that govern personal restraint petitions, and we have—to date—respected the difference between an unauthorized, unlawful exercise of sentencing power and a merely erroneous judgment and sentence, which must be final after a point in time. </w:t>
      </w:r>
    </w:p>
    <w:p w14:paraId="3F8A558B" w14:textId="77777777" w:rsidR="00F83DA0" w:rsidRDefault="00F83DA0" w:rsidP="00F83DA0">
      <w:pPr>
        <w:rPr>
          <w:rFonts w:ascii="Calibri" w:hAnsi="Calibri" w:cs="Calibri"/>
        </w:rPr>
      </w:pPr>
    </w:p>
    <w:p w14:paraId="390095C8" w14:textId="77777777" w:rsidR="00F83DA0" w:rsidRDefault="00F83DA0" w:rsidP="00F83DA0">
      <w:pPr>
        <w:rPr>
          <w:rFonts w:ascii="Calibri" w:hAnsi="Calibri" w:cs="Calibri"/>
        </w:rPr>
      </w:pPr>
      <w:r w:rsidRPr="004B66CC">
        <w:rPr>
          <w:rFonts w:ascii="Calibri" w:hAnsi="Calibri" w:cs="Calibri"/>
        </w:rPr>
        <w:t>Dissent Concurrence (J. Gonzales, with Yu): Th</w:t>
      </w:r>
      <w:r>
        <w:rPr>
          <w:rFonts w:ascii="Calibri" w:hAnsi="Calibri" w:cs="Calibri"/>
        </w:rPr>
        <w:t xml:space="preserve">e J &amp; S is valid because Mr. Fletcher stipulated to an exceptional sentence above the range.  The court had authority to depart above the range based on the defendant’s stipulation. </w:t>
      </w:r>
    </w:p>
    <w:p w14:paraId="667EDCCA" w14:textId="77777777" w:rsidR="00F83DA0" w:rsidRPr="004B66CC" w:rsidRDefault="00F83DA0" w:rsidP="00F83DA0">
      <w:pPr>
        <w:ind w:left="720"/>
        <w:rPr>
          <w:rFonts w:ascii="Calibri" w:hAnsi="Calibri" w:cs="Calibri"/>
        </w:rPr>
      </w:pPr>
      <w:r w:rsidRPr="004B66CC">
        <w:rPr>
          <w:rFonts w:ascii="Calibri" w:hAnsi="Calibri" w:cs="Calibri"/>
        </w:rPr>
        <w:t>While I too am disturbed that this sentencing error has no remedy, the fact that the trial court was misinformed about a sentencing range that did not control the sentencing is not sufficient to render a judgment and sentence not valid on its face under existing preceden</w:t>
      </w:r>
      <w:r>
        <w:rPr>
          <w:rFonts w:ascii="Calibri" w:hAnsi="Calibri" w:cs="Calibri"/>
        </w:rPr>
        <w:t>t.</w:t>
      </w:r>
    </w:p>
    <w:p w14:paraId="7DC2A8D0" w14:textId="77777777" w:rsidR="00F83DA0" w:rsidRDefault="00F83DA0" w:rsidP="00F83DA0">
      <w:pPr>
        <w:rPr>
          <w:rFonts w:asciiTheme="minorHAnsi" w:hAnsiTheme="minorHAnsi" w:cstheme="minorHAnsi"/>
          <w:b/>
          <w:iCs/>
        </w:rPr>
      </w:pPr>
    </w:p>
    <w:p w14:paraId="5558CDCF" w14:textId="77777777" w:rsidR="00F83DA0" w:rsidRDefault="00F83DA0" w:rsidP="00F83DA0">
      <w:pPr>
        <w:rPr>
          <w:rFonts w:asciiTheme="minorHAnsi" w:hAnsiTheme="minorHAnsi" w:cstheme="minorHAnsi"/>
          <w:b/>
          <w:iCs/>
        </w:rPr>
      </w:pPr>
    </w:p>
    <w:p w14:paraId="7B5D3AF7" w14:textId="2FD339AF" w:rsidR="00F83DA0" w:rsidRPr="00E426DE" w:rsidRDefault="00F83DA0" w:rsidP="00F83DA0">
      <w:pPr>
        <w:rPr>
          <w:rFonts w:asciiTheme="minorHAnsi" w:hAnsiTheme="minorHAnsi" w:cstheme="minorHAnsi"/>
          <w:b/>
          <w:iCs/>
        </w:rPr>
      </w:pPr>
      <w:r w:rsidRPr="00E426DE">
        <w:rPr>
          <w:rFonts w:asciiTheme="minorHAnsi" w:hAnsiTheme="minorHAnsi" w:cstheme="minorHAnsi"/>
          <w:b/>
          <w:iCs/>
        </w:rPr>
        <w:t>Resentencing: Trial court committed reversible error when it refused to entertain</w:t>
      </w:r>
    </w:p>
    <w:p w14:paraId="42AC035A" w14:textId="77777777" w:rsidR="00F83DA0" w:rsidRPr="00E426DE" w:rsidRDefault="00F83DA0" w:rsidP="00F83DA0">
      <w:pPr>
        <w:rPr>
          <w:rFonts w:asciiTheme="minorHAnsi" w:hAnsiTheme="minorHAnsi" w:cstheme="minorHAnsi"/>
          <w:bCs/>
          <w:iCs/>
        </w:rPr>
      </w:pPr>
      <w:r w:rsidRPr="00E426DE">
        <w:rPr>
          <w:rFonts w:asciiTheme="minorHAnsi" w:hAnsiTheme="minorHAnsi" w:cstheme="minorHAnsi"/>
          <w:b/>
          <w:iCs/>
        </w:rPr>
        <w:t>the defendant’s request for a lower sentence based on evidence of rehabilitation</w:t>
      </w:r>
      <w:r w:rsidRPr="00E426DE">
        <w:rPr>
          <w:rFonts w:asciiTheme="minorHAnsi" w:hAnsiTheme="minorHAnsi" w:cstheme="minorHAnsi"/>
          <w:bCs/>
          <w:iCs/>
        </w:rPr>
        <w:t>.</w:t>
      </w:r>
    </w:p>
    <w:p w14:paraId="5C0963A4" w14:textId="77777777" w:rsidR="00F83DA0" w:rsidRPr="00E426DE" w:rsidRDefault="00F83DA0" w:rsidP="00F83DA0">
      <w:pPr>
        <w:rPr>
          <w:rFonts w:asciiTheme="minorHAnsi" w:hAnsiTheme="minorHAnsi" w:cstheme="minorHAnsi"/>
          <w:bCs/>
          <w:iCs/>
        </w:rPr>
      </w:pPr>
    </w:p>
    <w:p w14:paraId="6F408383" w14:textId="77777777" w:rsidR="00F83DA0" w:rsidRDefault="00F83DA0" w:rsidP="00F83DA0">
      <w:pPr>
        <w:rPr>
          <w:rFonts w:asciiTheme="minorHAnsi" w:hAnsiTheme="minorHAnsi" w:cstheme="minorHAnsi"/>
          <w:b/>
          <w:iCs/>
        </w:rPr>
      </w:pPr>
      <w:r>
        <w:rPr>
          <w:rFonts w:asciiTheme="minorHAnsi" w:hAnsiTheme="minorHAnsi" w:cstheme="minorHAnsi"/>
          <w:b/>
          <w:iCs/>
        </w:rPr>
        <w:t>Resentencing:  A resentencing hearing is de novo unless a reviewing court restricts the resentencing to narrow issues.</w:t>
      </w:r>
    </w:p>
    <w:p w14:paraId="190218E0" w14:textId="77777777" w:rsidR="00F83DA0" w:rsidRPr="00CA44ED" w:rsidRDefault="00F83DA0" w:rsidP="00F83DA0">
      <w:pPr>
        <w:rPr>
          <w:rFonts w:asciiTheme="minorHAnsi" w:hAnsiTheme="minorHAnsi" w:cstheme="minorHAnsi"/>
          <w:bCs/>
          <w:iCs/>
        </w:rPr>
      </w:pPr>
      <w:r>
        <w:rPr>
          <w:rFonts w:asciiTheme="minorHAnsi" w:hAnsiTheme="minorHAnsi" w:cstheme="minorHAnsi"/>
          <w:b/>
          <w:iCs/>
        </w:rPr>
        <w:t xml:space="preserve"> </w:t>
      </w:r>
    </w:p>
    <w:p w14:paraId="00810C97" w14:textId="77777777" w:rsidR="00F83DA0" w:rsidRDefault="00F83DA0" w:rsidP="00F83DA0">
      <w:pPr>
        <w:rPr>
          <w:rFonts w:asciiTheme="minorHAnsi" w:hAnsiTheme="minorHAnsi" w:cstheme="minorHAnsi"/>
          <w:bCs/>
          <w:iCs/>
        </w:rPr>
      </w:pPr>
      <w:r w:rsidRPr="00B03F0B">
        <w:rPr>
          <w:rFonts w:asciiTheme="minorHAnsi" w:hAnsiTheme="minorHAnsi" w:cstheme="minorHAnsi"/>
          <w:bCs/>
          <w:i/>
        </w:rPr>
        <w:t>State v. Dunbar</w:t>
      </w:r>
      <w:r w:rsidRPr="001A6139">
        <w:rPr>
          <w:rFonts w:asciiTheme="minorHAnsi" w:hAnsiTheme="minorHAnsi" w:cstheme="minorHAnsi"/>
          <w:bCs/>
          <w:iCs/>
        </w:rPr>
        <w:t xml:space="preserve">, </w:t>
      </w:r>
      <w:r>
        <w:rPr>
          <w:rFonts w:asciiTheme="minorHAnsi" w:hAnsiTheme="minorHAnsi" w:cstheme="minorHAnsi"/>
          <w:bCs/>
          <w:iCs/>
        </w:rPr>
        <w:t>27</w:t>
      </w:r>
      <w:r w:rsidRPr="001A6139">
        <w:rPr>
          <w:rFonts w:asciiTheme="minorHAnsi" w:hAnsiTheme="minorHAnsi" w:cstheme="minorHAnsi"/>
          <w:bCs/>
          <w:iCs/>
        </w:rPr>
        <w:t xml:space="preserve"> Wn.App.</w:t>
      </w:r>
      <w:r>
        <w:rPr>
          <w:rFonts w:asciiTheme="minorHAnsi" w:hAnsiTheme="minorHAnsi" w:cstheme="minorHAnsi"/>
          <w:bCs/>
          <w:iCs/>
        </w:rPr>
        <w:t>3d</w:t>
      </w:r>
      <w:r w:rsidRPr="001A6139">
        <w:rPr>
          <w:rFonts w:asciiTheme="minorHAnsi" w:hAnsiTheme="minorHAnsi" w:cstheme="minorHAnsi"/>
          <w:bCs/>
          <w:iCs/>
        </w:rPr>
        <w:t xml:space="preserve"> </w:t>
      </w:r>
      <w:r>
        <w:rPr>
          <w:rFonts w:asciiTheme="minorHAnsi" w:hAnsiTheme="minorHAnsi" w:cstheme="minorHAnsi"/>
          <w:bCs/>
          <w:iCs/>
        </w:rPr>
        <w:t>238,</w:t>
      </w:r>
      <w:r w:rsidRPr="001A6139">
        <w:rPr>
          <w:rFonts w:asciiTheme="minorHAnsi" w:hAnsiTheme="minorHAnsi" w:cstheme="minorHAnsi"/>
          <w:bCs/>
          <w:iCs/>
        </w:rPr>
        <w:t xml:space="preserve"> </w:t>
      </w:r>
      <w:r>
        <w:rPr>
          <w:rFonts w:asciiTheme="minorHAnsi" w:hAnsiTheme="minorHAnsi" w:cstheme="minorHAnsi"/>
          <w:bCs/>
          <w:iCs/>
        </w:rPr>
        <w:t>532 P.3d 652 (2023)</w:t>
      </w:r>
    </w:p>
    <w:p w14:paraId="43ADAB33" w14:textId="77777777" w:rsidR="00F83DA0" w:rsidRDefault="00F83DA0" w:rsidP="00F83DA0">
      <w:pPr>
        <w:rPr>
          <w:rFonts w:asciiTheme="minorHAnsi" w:hAnsiTheme="minorHAnsi" w:cstheme="minorHAnsi"/>
          <w:bCs/>
          <w:iCs/>
        </w:rPr>
      </w:pPr>
      <w:r>
        <w:rPr>
          <w:rFonts w:asciiTheme="minorHAnsi" w:hAnsiTheme="minorHAnsi" w:cstheme="minorHAnsi"/>
          <w:bCs/>
          <w:iCs/>
        </w:rPr>
        <w:t xml:space="preserve">In 2017, the State prosecuted Mr. Dunbar for possession of a stolen vehicle and tampering with a witness.  The trial court calculated Mr. Dunbar’s offender scores at 26 and 12 and imposed 60 months confinement. At a </w:t>
      </w:r>
      <w:r w:rsidRPr="00B52B33">
        <w:rPr>
          <w:rFonts w:asciiTheme="minorHAnsi" w:hAnsiTheme="minorHAnsi" w:cstheme="minorHAnsi"/>
          <w:bCs/>
          <w:i/>
        </w:rPr>
        <w:t>Blake</w:t>
      </w:r>
      <w:r>
        <w:rPr>
          <w:rFonts w:asciiTheme="minorHAnsi" w:hAnsiTheme="minorHAnsi" w:cstheme="minorHAnsi"/>
          <w:bCs/>
          <w:iCs/>
        </w:rPr>
        <w:t xml:space="preserve"> resentencing</w:t>
      </w:r>
      <w:r>
        <w:rPr>
          <w:rFonts w:asciiTheme="minorHAnsi" w:hAnsiTheme="minorHAnsi" w:cstheme="minorHAnsi"/>
          <w:bCs/>
          <w:i/>
        </w:rPr>
        <w:t>,</w:t>
      </w:r>
      <w:r>
        <w:rPr>
          <w:rFonts w:asciiTheme="minorHAnsi" w:hAnsiTheme="minorHAnsi" w:cstheme="minorHAnsi"/>
          <w:bCs/>
          <w:iCs/>
        </w:rPr>
        <w:t xml:space="preserve"> Mr. Dunbar presented evidence of his accomplishments and rehabilitation during confinement and sought a low-end standard range sentence. The trial court removed two PCS convictions and recalculated his offender score. There was no change to the standard range. The court re-imposed the original sentence. </w:t>
      </w:r>
    </w:p>
    <w:p w14:paraId="6BE6704D" w14:textId="77777777" w:rsidR="00F83DA0" w:rsidRDefault="00F83DA0" w:rsidP="00F83DA0">
      <w:pPr>
        <w:rPr>
          <w:rFonts w:asciiTheme="minorHAnsi" w:hAnsiTheme="minorHAnsi" w:cstheme="minorHAnsi"/>
          <w:bCs/>
          <w:iCs/>
        </w:rPr>
      </w:pPr>
    </w:p>
    <w:p w14:paraId="71CCADB5" w14:textId="788D9DAA" w:rsidR="00F83DA0" w:rsidRDefault="00F83DA0" w:rsidP="00F83DA0">
      <w:r w:rsidRPr="00B92061">
        <w:rPr>
          <w:rFonts w:asciiTheme="minorHAnsi" w:hAnsiTheme="minorHAnsi" w:cstheme="minorHAnsi"/>
          <w:bCs/>
          <w:i/>
        </w:rPr>
        <w:t>Held</w:t>
      </w:r>
      <w:r w:rsidRPr="000E4A2E">
        <w:rPr>
          <w:rFonts w:asciiTheme="minorHAnsi" w:hAnsiTheme="minorHAnsi" w:cstheme="minorHAnsi"/>
          <w:bCs/>
          <w:iCs/>
        </w:rPr>
        <w:t xml:space="preserve">, </w:t>
      </w:r>
      <w:r w:rsidRPr="000E4A2E">
        <w:rPr>
          <w:rFonts w:asciiTheme="minorHAnsi" w:hAnsiTheme="minorHAnsi" w:cstheme="minorHAnsi"/>
        </w:rPr>
        <w:t xml:space="preserve">unless a reviewing court restricts resentencing to narrow issues, any resentencing should be </w:t>
      </w:r>
      <w:r w:rsidRPr="00F34DD7">
        <w:rPr>
          <w:rFonts w:asciiTheme="minorHAnsi" w:hAnsiTheme="minorHAnsi" w:cstheme="minorHAnsi"/>
          <w:i/>
          <w:iCs/>
        </w:rPr>
        <w:t>de novo</w:t>
      </w:r>
      <w:r w:rsidRPr="000E4A2E">
        <w:rPr>
          <w:rFonts w:asciiTheme="minorHAnsi" w:hAnsiTheme="minorHAnsi" w:cstheme="minorHAnsi"/>
        </w:rPr>
        <w:t>. During the resentencing</w:t>
      </w:r>
      <w:r>
        <w:rPr>
          <w:rFonts w:asciiTheme="minorHAnsi" w:hAnsiTheme="minorHAnsi" w:cstheme="minorHAnsi"/>
        </w:rPr>
        <w:t xml:space="preserve"> hearing</w:t>
      </w:r>
      <w:r w:rsidRPr="000E4A2E">
        <w:rPr>
          <w:rFonts w:asciiTheme="minorHAnsi" w:hAnsiTheme="minorHAnsi" w:cstheme="minorHAnsi"/>
        </w:rPr>
        <w:t xml:space="preserve">, the resentencing judge may consider rulings by another judge during the sentencing of the </w:t>
      </w:r>
      <w:r>
        <w:rPr>
          <w:rFonts w:asciiTheme="minorHAnsi" w:hAnsiTheme="minorHAnsi" w:cstheme="minorHAnsi"/>
        </w:rPr>
        <w:t>person</w:t>
      </w:r>
      <w:r w:rsidRPr="000E4A2E">
        <w:rPr>
          <w:rFonts w:asciiTheme="minorHAnsi" w:hAnsiTheme="minorHAnsi" w:cstheme="minorHAnsi"/>
        </w:rPr>
        <w:t>, but the resentencing judge should exercise independent discretion</w:t>
      </w:r>
      <w:r w:rsidRPr="00E5430D">
        <w:t>.</w:t>
      </w:r>
      <w:r w:rsidRPr="00E5430D">
        <w:rPr>
          <w:rFonts w:asciiTheme="minorHAnsi" w:hAnsiTheme="minorHAnsi" w:cstheme="minorHAnsi"/>
        </w:rPr>
        <w:t xml:space="preserve"> </w:t>
      </w:r>
      <w:r w:rsidRPr="00E5430D">
        <w:rPr>
          <w:rFonts w:asciiTheme="minorHAnsi" w:hAnsiTheme="minorHAnsi" w:cstheme="minorHAnsi"/>
          <w:i/>
          <w:iCs/>
        </w:rPr>
        <w:t>Held</w:t>
      </w:r>
      <w:r w:rsidRPr="00E5430D">
        <w:rPr>
          <w:rFonts w:asciiTheme="minorHAnsi" w:hAnsiTheme="minorHAnsi" w:cstheme="minorHAnsi"/>
        </w:rPr>
        <w:t xml:space="preserve">, </w:t>
      </w:r>
      <w:r>
        <w:rPr>
          <w:rFonts w:asciiTheme="minorHAnsi" w:hAnsiTheme="minorHAnsi" w:cstheme="minorHAnsi"/>
        </w:rPr>
        <w:t xml:space="preserve">at resentencing the </w:t>
      </w:r>
      <w:r w:rsidRPr="00E5430D">
        <w:rPr>
          <w:rFonts w:asciiTheme="minorHAnsi" w:hAnsiTheme="minorHAnsi" w:cstheme="minorHAnsi"/>
        </w:rPr>
        <w:t xml:space="preserve">trial court </w:t>
      </w:r>
      <w:r>
        <w:rPr>
          <w:rFonts w:asciiTheme="minorHAnsi" w:hAnsiTheme="minorHAnsi" w:cstheme="minorHAnsi"/>
        </w:rPr>
        <w:t xml:space="preserve">should consider new evidence and arguments of the parties, including </w:t>
      </w:r>
      <w:r w:rsidRPr="00E5430D">
        <w:rPr>
          <w:rFonts w:asciiTheme="minorHAnsi" w:hAnsiTheme="minorHAnsi" w:cstheme="minorHAnsi"/>
        </w:rPr>
        <w:t>evidence of rehabilitation</w:t>
      </w:r>
    </w:p>
    <w:p w14:paraId="50E9E3E8" w14:textId="77777777" w:rsidR="00F83DA0" w:rsidRDefault="00F83DA0" w:rsidP="00F83DA0">
      <w:pPr>
        <w:spacing w:after="160" w:line="259" w:lineRule="auto"/>
        <w:rPr>
          <w:rFonts w:ascii="Calibri" w:eastAsia="Calibri" w:hAnsi="Calibri"/>
          <w:b/>
          <w:bCs/>
          <w:kern w:val="2"/>
          <w:sz w:val="22"/>
          <w:szCs w:val="22"/>
          <w14:ligatures w14:val="standardContextual"/>
        </w:rPr>
      </w:pPr>
      <w:bookmarkStart w:id="2" w:name="_Hlk147160296"/>
    </w:p>
    <w:p w14:paraId="3EF9D91E" w14:textId="32C1D3DF" w:rsidR="00F83DA0" w:rsidRPr="00F83DA0" w:rsidRDefault="00F83DA0" w:rsidP="00F83DA0">
      <w:pPr>
        <w:spacing w:after="160" w:line="259" w:lineRule="auto"/>
        <w:rPr>
          <w:rFonts w:ascii="Calibri" w:eastAsia="Calibri" w:hAnsi="Calibri"/>
          <w:b/>
          <w:bCs/>
          <w:kern w:val="2"/>
          <w14:ligatures w14:val="standardContextual"/>
        </w:rPr>
      </w:pPr>
      <w:r w:rsidRPr="00F83DA0">
        <w:rPr>
          <w:rFonts w:ascii="Calibri" w:eastAsia="Calibri" w:hAnsi="Calibri"/>
          <w:b/>
          <w:bCs/>
          <w:kern w:val="2"/>
          <w14:ligatures w14:val="standardContextual"/>
        </w:rPr>
        <w:t xml:space="preserve">Resentencing: Trial court’s order granting a resentencing hearing effectively vacates a judgement and sentence and is appealable under RAP 2.2(b)(3).  </w:t>
      </w:r>
    </w:p>
    <w:p w14:paraId="120B2BB8" w14:textId="44FEC184" w:rsidR="00F83DA0" w:rsidRPr="00F83DA0" w:rsidRDefault="00F83DA0" w:rsidP="00F83DA0">
      <w:pPr>
        <w:spacing w:after="160" w:line="259" w:lineRule="auto"/>
        <w:rPr>
          <w:rFonts w:ascii="Calibri" w:eastAsia="Calibri" w:hAnsi="Calibri"/>
          <w:kern w:val="2"/>
          <w14:ligatures w14:val="standardContextual"/>
        </w:rPr>
      </w:pPr>
      <w:bookmarkStart w:id="3" w:name="_Hlk147160267"/>
      <w:bookmarkEnd w:id="2"/>
      <w:r w:rsidRPr="00F83DA0">
        <w:rPr>
          <w:rFonts w:ascii="Calibri" w:eastAsia="Calibri" w:hAnsi="Calibri"/>
          <w:i/>
          <w:iCs/>
          <w:kern w:val="2"/>
          <w14:ligatures w14:val="standardContextual"/>
        </w:rPr>
        <w:t>State v. McWhorter</w:t>
      </w:r>
      <w:r w:rsidRPr="00F83DA0">
        <w:rPr>
          <w:rFonts w:ascii="Calibri" w:eastAsia="Calibri" w:hAnsi="Calibri"/>
          <w:kern w:val="2"/>
          <w14:ligatures w14:val="standardContextual"/>
        </w:rPr>
        <w:t xml:space="preserve">, </w:t>
      </w:r>
      <w:r w:rsidRPr="001547AE">
        <w:rPr>
          <w:rFonts w:ascii="Calibri" w:eastAsia="Calibri" w:hAnsi="Calibri"/>
          <w:kern w:val="2"/>
          <w14:ligatures w14:val="standardContextual"/>
        </w:rPr>
        <w:t>2</w:t>
      </w:r>
      <w:r w:rsidRPr="00F83DA0">
        <w:rPr>
          <w:rFonts w:ascii="Calibri" w:eastAsia="Calibri" w:hAnsi="Calibri"/>
          <w:kern w:val="2"/>
          <w14:ligatures w14:val="standardContextual"/>
        </w:rPr>
        <w:t xml:space="preserve"> Wn</w:t>
      </w:r>
      <w:r w:rsidRPr="001547AE">
        <w:rPr>
          <w:rFonts w:ascii="Calibri" w:eastAsia="Calibri" w:hAnsi="Calibri"/>
          <w:kern w:val="2"/>
          <w14:ligatures w14:val="standardContextual"/>
        </w:rPr>
        <w:t>.3</w:t>
      </w:r>
      <w:r w:rsidRPr="00F83DA0">
        <w:rPr>
          <w:rFonts w:ascii="Calibri" w:eastAsia="Calibri" w:hAnsi="Calibri"/>
          <w:kern w:val="2"/>
          <w14:ligatures w14:val="standardContextual"/>
        </w:rPr>
        <w:t xml:space="preserve">d. </w:t>
      </w:r>
      <w:r w:rsidRPr="001547AE">
        <w:rPr>
          <w:rFonts w:ascii="Calibri" w:eastAsia="Calibri" w:hAnsi="Calibri"/>
          <w:kern w:val="2"/>
          <w14:ligatures w14:val="standardContextual"/>
        </w:rPr>
        <w:t>324, 535 P.3d 880</w:t>
      </w:r>
      <w:r w:rsidRPr="00F83DA0">
        <w:rPr>
          <w:rFonts w:ascii="Calibri" w:eastAsia="Calibri" w:hAnsi="Calibri"/>
          <w:kern w:val="2"/>
          <w14:ligatures w14:val="standardContextual"/>
        </w:rPr>
        <w:t xml:space="preserve"> (2023)</w:t>
      </w:r>
    </w:p>
    <w:bookmarkEnd w:id="3"/>
    <w:p w14:paraId="5198E0D3"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In 1997. Mr. McWhorter pleaded guilty to rape 1, rape 2, robbery 1, and 3 firearm enhancements for an offense that occurred when he was 17 years old</w:t>
      </w:r>
      <w:proofErr w:type="gramStart"/>
      <w:r w:rsidRPr="00F83DA0">
        <w:rPr>
          <w:rFonts w:ascii="Calibri" w:eastAsia="Calibri" w:hAnsi="Calibri"/>
          <w:kern w:val="2"/>
          <w14:ligatures w14:val="standardContextual"/>
        </w:rPr>
        <w:t>. .</w:t>
      </w:r>
      <w:proofErr w:type="gramEnd"/>
      <w:r w:rsidRPr="00F83DA0">
        <w:rPr>
          <w:rFonts w:ascii="Calibri" w:eastAsia="Calibri" w:hAnsi="Calibri"/>
          <w:kern w:val="2"/>
          <w14:ligatures w14:val="standardContextual"/>
        </w:rPr>
        <w:t xml:space="preserve">  The trial court imposed a sentence of 376 months. In 2016, he moved for resentencing where court could consider the mitigating qualities of youth.</w:t>
      </w:r>
    </w:p>
    <w:p w14:paraId="70F5D438"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 xml:space="preserve">The superior court first transferred the motion to the Court of Appeals for treatment as a personal restraint petition pursuant to </w:t>
      </w:r>
      <w:proofErr w:type="spellStart"/>
      <w:r w:rsidRPr="00F83DA0">
        <w:rPr>
          <w:rFonts w:ascii="Calibri" w:eastAsia="Calibri" w:hAnsi="Calibri"/>
          <w:kern w:val="2"/>
          <w14:ligatures w14:val="standardContextual"/>
        </w:rPr>
        <w:t>CrR</w:t>
      </w:r>
      <w:proofErr w:type="spellEnd"/>
      <w:r w:rsidRPr="00F83DA0">
        <w:rPr>
          <w:rFonts w:ascii="Calibri" w:eastAsia="Calibri" w:hAnsi="Calibri"/>
          <w:kern w:val="2"/>
          <w14:ligatures w14:val="standardContextual"/>
        </w:rPr>
        <w:t xml:space="preserve"> 7.8(c)(2), finding the motion untimely. But in 2020, after staying the matter pending other decisions, the Court of Appeals remanded the matter back to the superior court for further consideration of whether the motion was time barred. </w:t>
      </w:r>
    </w:p>
    <w:p w14:paraId="21DB52D2"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Back in superior court, the State conceded the timeliness of the motion but moved to transfer the matter back to the Court of Appeals on the basis McWhorter demonstrated no prejudice from any error related to the consideration of his youth and therefore failed to make a substantial showing of entitlement to relief. The superior court denied the State’s motion and ordered that “[a] resentencing hearing shall be scheduled at the earliest convenient date.”</w:t>
      </w:r>
    </w:p>
    <w:p w14:paraId="7604FA1C"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The State appealed this order to the Court of Appeals. But the Court of Appeals held that the superior court’s order was not appealable by the State. It dismissed the appeal in an unpublished opinion without addressing the merits.</w:t>
      </w:r>
    </w:p>
    <w:p w14:paraId="37FBEA60"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kern w:val="2"/>
          <w14:ligatures w14:val="standardContextual"/>
        </w:rPr>
        <w:t>The State argues that the superior court’s order scheduling a resentencing hearing “vacated” the original judgment and sentence, making the order appealable under that RAP. The Court of Appeals rejected this argument. It reasoned that when the superior court ordered resentencing, it did not necessarily “arrest or vacate” the judgment against McWhorter—because McWhorter did not ask the superior court to vacate the judgment and sentence, and because nothing in the trial court’s order stated that it was vacating the judgment and sentence.</w:t>
      </w:r>
    </w:p>
    <w:p w14:paraId="565B356C" w14:textId="77777777" w:rsidR="00F83DA0" w:rsidRPr="00F83DA0" w:rsidRDefault="00F83DA0" w:rsidP="00F83DA0">
      <w:pPr>
        <w:spacing w:after="160" w:line="259" w:lineRule="auto"/>
        <w:rPr>
          <w:rFonts w:ascii="Calibri" w:eastAsia="Calibri" w:hAnsi="Calibri"/>
          <w:kern w:val="2"/>
          <w14:ligatures w14:val="standardContextual"/>
        </w:rPr>
      </w:pPr>
      <w:r w:rsidRPr="00F83DA0">
        <w:rPr>
          <w:rFonts w:ascii="Calibri" w:eastAsia="Calibri" w:hAnsi="Calibri"/>
          <w:i/>
          <w:iCs/>
          <w:kern w:val="2"/>
          <w14:ligatures w14:val="standardContextual"/>
        </w:rPr>
        <w:lastRenderedPageBreak/>
        <w:t>Held</w:t>
      </w:r>
      <w:r w:rsidRPr="00F83DA0">
        <w:rPr>
          <w:rFonts w:ascii="Calibri" w:eastAsia="Calibri" w:hAnsi="Calibri"/>
          <w:kern w:val="2"/>
          <w14:ligatures w14:val="standardContextual"/>
        </w:rPr>
        <w:t xml:space="preserve">, by the act of ordering a complete resentencing hearing at which the superior court would exercise its sentencing discretion anew, the court effectively vacated the original judgment and sentence. The superior court’s order setting a resentencing hearing to consider the mitigating qualities of McWhorter’s youth was an “order arresting or vacating a judgment” under RAP 2.2(b)(3), appealable by the State. </w:t>
      </w:r>
    </w:p>
    <w:p w14:paraId="041D5431" w14:textId="77777777" w:rsidR="00F83DA0" w:rsidRPr="00F83DA0" w:rsidRDefault="00F83DA0" w:rsidP="00F83DA0">
      <w:pPr>
        <w:spacing w:after="160" w:line="259" w:lineRule="auto"/>
        <w:rPr>
          <w:rFonts w:ascii="Calibri" w:eastAsia="Calibri" w:hAnsi="Calibri"/>
          <w:kern w:val="2"/>
          <w14:ligatures w14:val="standardContextual"/>
        </w:rPr>
      </w:pPr>
    </w:p>
    <w:p w14:paraId="4AC3B75E" w14:textId="77777777" w:rsidR="00F83DA0" w:rsidRPr="001547AE" w:rsidRDefault="00F83DA0" w:rsidP="00564672">
      <w:pPr>
        <w:ind w:left="720"/>
        <w:rPr>
          <w:rFonts w:asciiTheme="minorHAnsi" w:hAnsiTheme="minorHAnsi" w:cstheme="minorHAnsi"/>
          <w:bCs/>
          <w:iCs/>
        </w:rPr>
      </w:pPr>
    </w:p>
    <w:sectPr w:rsidR="00F83DA0" w:rsidRPr="001547AE" w:rsidSect="00542F1E">
      <w:pgSz w:w="12240" w:h="15840"/>
      <w:pgMar w:top="1440" w:right="1800" w:bottom="1440" w:left="180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C7FA6" w14:textId="77777777" w:rsidR="008552AC" w:rsidRDefault="008552AC">
      <w:r>
        <w:separator/>
      </w:r>
    </w:p>
  </w:endnote>
  <w:endnote w:type="continuationSeparator" w:id="0">
    <w:p w14:paraId="285B4AE6" w14:textId="77777777" w:rsidR="008552AC" w:rsidRDefault="00855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8460B" w14:textId="77777777" w:rsidR="008552AC" w:rsidRDefault="008552AC">
      <w:r>
        <w:separator/>
      </w:r>
    </w:p>
  </w:footnote>
  <w:footnote w:type="continuationSeparator" w:id="0">
    <w:p w14:paraId="420F7C16" w14:textId="77777777" w:rsidR="008552AC" w:rsidRDefault="008552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168"/>
    <w:multiLevelType w:val="hybridMultilevel"/>
    <w:tmpl w:val="5A68B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21964"/>
    <w:multiLevelType w:val="hybridMultilevel"/>
    <w:tmpl w:val="960A7FA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6487062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9961679">
    <w:abstractNumId w:val="1"/>
  </w:num>
  <w:num w:numId="3" w16cid:durableId="1777361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mail"/>
    <w:dataType w:val="textFile"/>
    <w:activeRecord w:val="-1"/>
    <w:odso/>
  </w:mailMerge>
  <w:defaultTabStop w:val="720"/>
  <w:characterSpacingControl w:val="doNotCompress"/>
  <w:hdrShapeDefaults>
    <o:shapedefaults v:ext="edit" spidmax="156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13"/>
    <w:rsid w:val="00002A8F"/>
    <w:rsid w:val="0000313E"/>
    <w:rsid w:val="00003158"/>
    <w:rsid w:val="000031A2"/>
    <w:rsid w:val="00004B16"/>
    <w:rsid w:val="00005125"/>
    <w:rsid w:val="00006818"/>
    <w:rsid w:val="000104AD"/>
    <w:rsid w:val="00012925"/>
    <w:rsid w:val="00016160"/>
    <w:rsid w:val="000165BA"/>
    <w:rsid w:val="00023FC8"/>
    <w:rsid w:val="00024C06"/>
    <w:rsid w:val="00024E97"/>
    <w:rsid w:val="00025CE3"/>
    <w:rsid w:val="00025EB8"/>
    <w:rsid w:val="000273BD"/>
    <w:rsid w:val="00027464"/>
    <w:rsid w:val="00030046"/>
    <w:rsid w:val="0003151C"/>
    <w:rsid w:val="0003236E"/>
    <w:rsid w:val="00032918"/>
    <w:rsid w:val="0003672E"/>
    <w:rsid w:val="0004140A"/>
    <w:rsid w:val="000426E4"/>
    <w:rsid w:val="00050244"/>
    <w:rsid w:val="00053E56"/>
    <w:rsid w:val="000575CF"/>
    <w:rsid w:val="00057F9F"/>
    <w:rsid w:val="000606AD"/>
    <w:rsid w:val="00063236"/>
    <w:rsid w:val="00064BFC"/>
    <w:rsid w:val="00066BBF"/>
    <w:rsid w:val="00066FC4"/>
    <w:rsid w:val="00070351"/>
    <w:rsid w:val="0007514C"/>
    <w:rsid w:val="00077D90"/>
    <w:rsid w:val="000823E4"/>
    <w:rsid w:val="000835D9"/>
    <w:rsid w:val="00085889"/>
    <w:rsid w:val="000864D8"/>
    <w:rsid w:val="00090476"/>
    <w:rsid w:val="000912D1"/>
    <w:rsid w:val="00092A92"/>
    <w:rsid w:val="00092ED7"/>
    <w:rsid w:val="00093EBF"/>
    <w:rsid w:val="000940CF"/>
    <w:rsid w:val="000945C6"/>
    <w:rsid w:val="00094902"/>
    <w:rsid w:val="00095786"/>
    <w:rsid w:val="000968F4"/>
    <w:rsid w:val="00097EFA"/>
    <w:rsid w:val="000A1174"/>
    <w:rsid w:val="000A1199"/>
    <w:rsid w:val="000A231D"/>
    <w:rsid w:val="000A2812"/>
    <w:rsid w:val="000A3EAA"/>
    <w:rsid w:val="000A515A"/>
    <w:rsid w:val="000A5A30"/>
    <w:rsid w:val="000A72F4"/>
    <w:rsid w:val="000B02D6"/>
    <w:rsid w:val="000B0BBA"/>
    <w:rsid w:val="000B112C"/>
    <w:rsid w:val="000B1F11"/>
    <w:rsid w:val="000B21E1"/>
    <w:rsid w:val="000B29BC"/>
    <w:rsid w:val="000B4722"/>
    <w:rsid w:val="000B4A1F"/>
    <w:rsid w:val="000B4E78"/>
    <w:rsid w:val="000B753B"/>
    <w:rsid w:val="000B7B53"/>
    <w:rsid w:val="000C2376"/>
    <w:rsid w:val="000C3F8A"/>
    <w:rsid w:val="000C401D"/>
    <w:rsid w:val="000C4913"/>
    <w:rsid w:val="000D1A20"/>
    <w:rsid w:val="000D1BF6"/>
    <w:rsid w:val="000D367A"/>
    <w:rsid w:val="000D3D44"/>
    <w:rsid w:val="000D5288"/>
    <w:rsid w:val="000E19A4"/>
    <w:rsid w:val="000E39B7"/>
    <w:rsid w:val="000E50D3"/>
    <w:rsid w:val="000E56D6"/>
    <w:rsid w:val="000E56F3"/>
    <w:rsid w:val="000E6D59"/>
    <w:rsid w:val="000F003E"/>
    <w:rsid w:val="000F5C80"/>
    <w:rsid w:val="000F5FB8"/>
    <w:rsid w:val="000F6998"/>
    <w:rsid w:val="000F7A0A"/>
    <w:rsid w:val="00100C57"/>
    <w:rsid w:val="00101606"/>
    <w:rsid w:val="00101F19"/>
    <w:rsid w:val="00102271"/>
    <w:rsid w:val="001058E6"/>
    <w:rsid w:val="00106840"/>
    <w:rsid w:val="00107125"/>
    <w:rsid w:val="0010795B"/>
    <w:rsid w:val="0011336D"/>
    <w:rsid w:val="00114E13"/>
    <w:rsid w:val="0011517D"/>
    <w:rsid w:val="001162C6"/>
    <w:rsid w:val="00116A4E"/>
    <w:rsid w:val="00117244"/>
    <w:rsid w:val="0012109A"/>
    <w:rsid w:val="001271F8"/>
    <w:rsid w:val="001305CD"/>
    <w:rsid w:val="00130AF7"/>
    <w:rsid w:val="00131509"/>
    <w:rsid w:val="00131DC3"/>
    <w:rsid w:val="001322DA"/>
    <w:rsid w:val="001336A1"/>
    <w:rsid w:val="001357A9"/>
    <w:rsid w:val="0013763B"/>
    <w:rsid w:val="00140116"/>
    <w:rsid w:val="001407AC"/>
    <w:rsid w:val="00140ED9"/>
    <w:rsid w:val="001410D9"/>
    <w:rsid w:val="001457EC"/>
    <w:rsid w:val="001458B6"/>
    <w:rsid w:val="001518DF"/>
    <w:rsid w:val="001547AE"/>
    <w:rsid w:val="0015603D"/>
    <w:rsid w:val="00156C1F"/>
    <w:rsid w:val="00156D0D"/>
    <w:rsid w:val="00161693"/>
    <w:rsid w:val="001665CF"/>
    <w:rsid w:val="00170DBD"/>
    <w:rsid w:val="00171E51"/>
    <w:rsid w:val="00177688"/>
    <w:rsid w:val="001804FD"/>
    <w:rsid w:val="001807AF"/>
    <w:rsid w:val="001879B1"/>
    <w:rsid w:val="00187CE3"/>
    <w:rsid w:val="001907AF"/>
    <w:rsid w:val="00190A6B"/>
    <w:rsid w:val="00190B16"/>
    <w:rsid w:val="0019174D"/>
    <w:rsid w:val="00193A61"/>
    <w:rsid w:val="001948D9"/>
    <w:rsid w:val="00195446"/>
    <w:rsid w:val="001968C9"/>
    <w:rsid w:val="00196A9C"/>
    <w:rsid w:val="001A2B1D"/>
    <w:rsid w:val="001A3A23"/>
    <w:rsid w:val="001A4D92"/>
    <w:rsid w:val="001A70BD"/>
    <w:rsid w:val="001B0F00"/>
    <w:rsid w:val="001B113D"/>
    <w:rsid w:val="001B3498"/>
    <w:rsid w:val="001B4DE2"/>
    <w:rsid w:val="001B4E71"/>
    <w:rsid w:val="001B6394"/>
    <w:rsid w:val="001C0083"/>
    <w:rsid w:val="001C105A"/>
    <w:rsid w:val="001C1E0A"/>
    <w:rsid w:val="001C2044"/>
    <w:rsid w:val="001C27D9"/>
    <w:rsid w:val="001C3727"/>
    <w:rsid w:val="001C4068"/>
    <w:rsid w:val="001C568D"/>
    <w:rsid w:val="001C59AA"/>
    <w:rsid w:val="001C5FE3"/>
    <w:rsid w:val="001C6593"/>
    <w:rsid w:val="001C733A"/>
    <w:rsid w:val="001D20D0"/>
    <w:rsid w:val="001D3395"/>
    <w:rsid w:val="001D441D"/>
    <w:rsid w:val="001D5222"/>
    <w:rsid w:val="001D595E"/>
    <w:rsid w:val="001D6021"/>
    <w:rsid w:val="001D767B"/>
    <w:rsid w:val="001D7CD1"/>
    <w:rsid w:val="001E2198"/>
    <w:rsid w:val="001E2631"/>
    <w:rsid w:val="001E2C70"/>
    <w:rsid w:val="001E2CF8"/>
    <w:rsid w:val="001E3EFC"/>
    <w:rsid w:val="001F340A"/>
    <w:rsid w:val="001F4152"/>
    <w:rsid w:val="001F64BE"/>
    <w:rsid w:val="001F7D27"/>
    <w:rsid w:val="002005B5"/>
    <w:rsid w:val="00200B5A"/>
    <w:rsid w:val="002015A6"/>
    <w:rsid w:val="002028AF"/>
    <w:rsid w:val="0020509D"/>
    <w:rsid w:val="002051E3"/>
    <w:rsid w:val="002052FD"/>
    <w:rsid w:val="002056D9"/>
    <w:rsid w:val="00206F08"/>
    <w:rsid w:val="00207095"/>
    <w:rsid w:val="0021099D"/>
    <w:rsid w:val="00211A87"/>
    <w:rsid w:val="00211D59"/>
    <w:rsid w:val="00212FD6"/>
    <w:rsid w:val="002136FB"/>
    <w:rsid w:val="00214411"/>
    <w:rsid w:val="002172D9"/>
    <w:rsid w:val="0021737A"/>
    <w:rsid w:val="002173A0"/>
    <w:rsid w:val="00221858"/>
    <w:rsid w:val="00221FE2"/>
    <w:rsid w:val="00223C7D"/>
    <w:rsid w:val="002276CE"/>
    <w:rsid w:val="0023007E"/>
    <w:rsid w:val="002301DA"/>
    <w:rsid w:val="002311AF"/>
    <w:rsid w:val="00231B06"/>
    <w:rsid w:val="00233824"/>
    <w:rsid w:val="0023648A"/>
    <w:rsid w:val="00237597"/>
    <w:rsid w:val="00237D85"/>
    <w:rsid w:val="00240DE6"/>
    <w:rsid w:val="002430BF"/>
    <w:rsid w:val="00245638"/>
    <w:rsid w:val="00246249"/>
    <w:rsid w:val="00252F37"/>
    <w:rsid w:val="00253A6A"/>
    <w:rsid w:val="002563EE"/>
    <w:rsid w:val="002655C0"/>
    <w:rsid w:val="002666F9"/>
    <w:rsid w:val="00274AA0"/>
    <w:rsid w:val="00277A53"/>
    <w:rsid w:val="002800ED"/>
    <w:rsid w:val="00280553"/>
    <w:rsid w:val="00280654"/>
    <w:rsid w:val="00280EC1"/>
    <w:rsid w:val="00281276"/>
    <w:rsid w:val="002828B6"/>
    <w:rsid w:val="00283975"/>
    <w:rsid w:val="00283BB0"/>
    <w:rsid w:val="002849B8"/>
    <w:rsid w:val="00285412"/>
    <w:rsid w:val="0028557D"/>
    <w:rsid w:val="0029172F"/>
    <w:rsid w:val="00292CDD"/>
    <w:rsid w:val="00293726"/>
    <w:rsid w:val="0029492A"/>
    <w:rsid w:val="0029701F"/>
    <w:rsid w:val="002A0F60"/>
    <w:rsid w:val="002A18EE"/>
    <w:rsid w:val="002A1EAD"/>
    <w:rsid w:val="002A382C"/>
    <w:rsid w:val="002A55F1"/>
    <w:rsid w:val="002A5933"/>
    <w:rsid w:val="002B0CFC"/>
    <w:rsid w:val="002B1418"/>
    <w:rsid w:val="002B36D0"/>
    <w:rsid w:val="002B39E3"/>
    <w:rsid w:val="002B41F3"/>
    <w:rsid w:val="002B4603"/>
    <w:rsid w:val="002B4D7A"/>
    <w:rsid w:val="002B6396"/>
    <w:rsid w:val="002B6466"/>
    <w:rsid w:val="002B64E9"/>
    <w:rsid w:val="002C038D"/>
    <w:rsid w:val="002C276D"/>
    <w:rsid w:val="002C5E3B"/>
    <w:rsid w:val="002C6AA1"/>
    <w:rsid w:val="002C6E59"/>
    <w:rsid w:val="002C76D5"/>
    <w:rsid w:val="002C7D01"/>
    <w:rsid w:val="002D1057"/>
    <w:rsid w:val="002D383D"/>
    <w:rsid w:val="002D5630"/>
    <w:rsid w:val="002D5A3E"/>
    <w:rsid w:val="002E2EE1"/>
    <w:rsid w:val="002E363D"/>
    <w:rsid w:val="002E3BDC"/>
    <w:rsid w:val="002E6661"/>
    <w:rsid w:val="002E6D6A"/>
    <w:rsid w:val="002E783F"/>
    <w:rsid w:val="002E7BAF"/>
    <w:rsid w:val="002F16FB"/>
    <w:rsid w:val="002F274B"/>
    <w:rsid w:val="002F285C"/>
    <w:rsid w:val="002F3B9B"/>
    <w:rsid w:val="00300232"/>
    <w:rsid w:val="00300DBE"/>
    <w:rsid w:val="0030189F"/>
    <w:rsid w:val="00302177"/>
    <w:rsid w:val="0030252E"/>
    <w:rsid w:val="00302581"/>
    <w:rsid w:val="003027D5"/>
    <w:rsid w:val="00302A25"/>
    <w:rsid w:val="00302E27"/>
    <w:rsid w:val="00303309"/>
    <w:rsid w:val="00303370"/>
    <w:rsid w:val="00303F63"/>
    <w:rsid w:val="00304084"/>
    <w:rsid w:val="00305442"/>
    <w:rsid w:val="0030564C"/>
    <w:rsid w:val="00311EF2"/>
    <w:rsid w:val="003133BD"/>
    <w:rsid w:val="0031394D"/>
    <w:rsid w:val="00313C54"/>
    <w:rsid w:val="003152B9"/>
    <w:rsid w:val="003173F0"/>
    <w:rsid w:val="00321002"/>
    <w:rsid w:val="00321487"/>
    <w:rsid w:val="003234A1"/>
    <w:rsid w:val="0032412B"/>
    <w:rsid w:val="00324B34"/>
    <w:rsid w:val="003263A3"/>
    <w:rsid w:val="00327D92"/>
    <w:rsid w:val="00330B2E"/>
    <w:rsid w:val="003314B3"/>
    <w:rsid w:val="003320B7"/>
    <w:rsid w:val="003335A9"/>
    <w:rsid w:val="003356D8"/>
    <w:rsid w:val="003369E0"/>
    <w:rsid w:val="00337F5E"/>
    <w:rsid w:val="003421AF"/>
    <w:rsid w:val="00342600"/>
    <w:rsid w:val="00342ACF"/>
    <w:rsid w:val="003465A9"/>
    <w:rsid w:val="0035006F"/>
    <w:rsid w:val="00352FFA"/>
    <w:rsid w:val="003530E6"/>
    <w:rsid w:val="003569B1"/>
    <w:rsid w:val="00360E86"/>
    <w:rsid w:val="003637AC"/>
    <w:rsid w:val="0037067C"/>
    <w:rsid w:val="00371789"/>
    <w:rsid w:val="00373A77"/>
    <w:rsid w:val="00376778"/>
    <w:rsid w:val="003777A2"/>
    <w:rsid w:val="003777AF"/>
    <w:rsid w:val="003816E0"/>
    <w:rsid w:val="0038177F"/>
    <w:rsid w:val="00384890"/>
    <w:rsid w:val="0038671E"/>
    <w:rsid w:val="003904CD"/>
    <w:rsid w:val="003947CE"/>
    <w:rsid w:val="00395D78"/>
    <w:rsid w:val="00396BAD"/>
    <w:rsid w:val="003A1EFD"/>
    <w:rsid w:val="003A2365"/>
    <w:rsid w:val="003A56EB"/>
    <w:rsid w:val="003A622D"/>
    <w:rsid w:val="003A7EC1"/>
    <w:rsid w:val="003B3F4F"/>
    <w:rsid w:val="003B6D7A"/>
    <w:rsid w:val="003B75CB"/>
    <w:rsid w:val="003B7A81"/>
    <w:rsid w:val="003C0ABC"/>
    <w:rsid w:val="003C0CD5"/>
    <w:rsid w:val="003C3184"/>
    <w:rsid w:val="003C3648"/>
    <w:rsid w:val="003C3EA9"/>
    <w:rsid w:val="003C4402"/>
    <w:rsid w:val="003C4F11"/>
    <w:rsid w:val="003C5C78"/>
    <w:rsid w:val="003C5F74"/>
    <w:rsid w:val="003D07B1"/>
    <w:rsid w:val="003D07B3"/>
    <w:rsid w:val="003D0A63"/>
    <w:rsid w:val="003D5643"/>
    <w:rsid w:val="003D62CC"/>
    <w:rsid w:val="003E0615"/>
    <w:rsid w:val="003E3CAA"/>
    <w:rsid w:val="003E481C"/>
    <w:rsid w:val="003E5F2E"/>
    <w:rsid w:val="003E63DA"/>
    <w:rsid w:val="003F0458"/>
    <w:rsid w:val="003F06A5"/>
    <w:rsid w:val="003F0762"/>
    <w:rsid w:val="003F0F3C"/>
    <w:rsid w:val="003F2C5E"/>
    <w:rsid w:val="003F3677"/>
    <w:rsid w:val="003F4999"/>
    <w:rsid w:val="003F4CE3"/>
    <w:rsid w:val="003F59FA"/>
    <w:rsid w:val="003F614C"/>
    <w:rsid w:val="003F7230"/>
    <w:rsid w:val="003F79A6"/>
    <w:rsid w:val="0040307A"/>
    <w:rsid w:val="00403198"/>
    <w:rsid w:val="00404A94"/>
    <w:rsid w:val="0041052B"/>
    <w:rsid w:val="004112C9"/>
    <w:rsid w:val="00412104"/>
    <w:rsid w:val="00413B25"/>
    <w:rsid w:val="004169F6"/>
    <w:rsid w:val="00421F2B"/>
    <w:rsid w:val="004227A3"/>
    <w:rsid w:val="00422A4E"/>
    <w:rsid w:val="00422B72"/>
    <w:rsid w:val="00422F8B"/>
    <w:rsid w:val="00423FE4"/>
    <w:rsid w:val="004249B9"/>
    <w:rsid w:val="00424EC8"/>
    <w:rsid w:val="0042643F"/>
    <w:rsid w:val="004265C7"/>
    <w:rsid w:val="00426D6E"/>
    <w:rsid w:val="0042763C"/>
    <w:rsid w:val="00436307"/>
    <w:rsid w:val="00436704"/>
    <w:rsid w:val="004369B3"/>
    <w:rsid w:val="00436BE2"/>
    <w:rsid w:val="0044043D"/>
    <w:rsid w:val="0044051B"/>
    <w:rsid w:val="0044218F"/>
    <w:rsid w:val="00442A54"/>
    <w:rsid w:val="00442B53"/>
    <w:rsid w:val="004507E1"/>
    <w:rsid w:val="00452BEB"/>
    <w:rsid w:val="00453361"/>
    <w:rsid w:val="00455778"/>
    <w:rsid w:val="0045793A"/>
    <w:rsid w:val="00460492"/>
    <w:rsid w:val="00462428"/>
    <w:rsid w:val="00465A4B"/>
    <w:rsid w:val="00466BEC"/>
    <w:rsid w:val="00470476"/>
    <w:rsid w:val="0047213D"/>
    <w:rsid w:val="00472EB2"/>
    <w:rsid w:val="0047319E"/>
    <w:rsid w:val="004738BB"/>
    <w:rsid w:val="0047395B"/>
    <w:rsid w:val="004739EE"/>
    <w:rsid w:val="00482CAC"/>
    <w:rsid w:val="0048318C"/>
    <w:rsid w:val="004843F8"/>
    <w:rsid w:val="00484B73"/>
    <w:rsid w:val="004866A2"/>
    <w:rsid w:val="0048746A"/>
    <w:rsid w:val="00493D4F"/>
    <w:rsid w:val="0049453D"/>
    <w:rsid w:val="0049506E"/>
    <w:rsid w:val="00495B8A"/>
    <w:rsid w:val="004A0704"/>
    <w:rsid w:val="004A0923"/>
    <w:rsid w:val="004A4BD8"/>
    <w:rsid w:val="004A5FF2"/>
    <w:rsid w:val="004A76C7"/>
    <w:rsid w:val="004A78B8"/>
    <w:rsid w:val="004A7BEA"/>
    <w:rsid w:val="004B3CC0"/>
    <w:rsid w:val="004B535C"/>
    <w:rsid w:val="004C052C"/>
    <w:rsid w:val="004C06BE"/>
    <w:rsid w:val="004C3203"/>
    <w:rsid w:val="004C3EA3"/>
    <w:rsid w:val="004C4194"/>
    <w:rsid w:val="004C4C7F"/>
    <w:rsid w:val="004C6176"/>
    <w:rsid w:val="004C659D"/>
    <w:rsid w:val="004C6A4F"/>
    <w:rsid w:val="004D0EF7"/>
    <w:rsid w:val="004D236B"/>
    <w:rsid w:val="004D23D2"/>
    <w:rsid w:val="004D4800"/>
    <w:rsid w:val="004D502E"/>
    <w:rsid w:val="004D53BD"/>
    <w:rsid w:val="004D68E9"/>
    <w:rsid w:val="004D73EE"/>
    <w:rsid w:val="004D7982"/>
    <w:rsid w:val="004E06FF"/>
    <w:rsid w:val="004E19C7"/>
    <w:rsid w:val="004E3AFC"/>
    <w:rsid w:val="004E4C0C"/>
    <w:rsid w:val="004E6181"/>
    <w:rsid w:val="004F0509"/>
    <w:rsid w:val="004F1061"/>
    <w:rsid w:val="004F2C61"/>
    <w:rsid w:val="004F3755"/>
    <w:rsid w:val="004F72F6"/>
    <w:rsid w:val="004F7D34"/>
    <w:rsid w:val="0050280F"/>
    <w:rsid w:val="0050285B"/>
    <w:rsid w:val="005029FE"/>
    <w:rsid w:val="0050518E"/>
    <w:rsid w:val="00505572"/>
    <w:rsid w:val="00505811"/>
    <w:rsid w:val="00507689"/>
    <w:rsid w:val="00510273"/>
    <w:rsid w:val="005106D0"/>
    <w:rsid w:val="005112CF"/>
    <w:rsid w:val="00512013"/>
    <w:rsid w:val="005123B3"/>
    <w:rsid w:val="005172BC"/>
    <w:rsid w:val="00520DA8"/>
    <w:rsid w:val="005226B1"/>
    <w:rsid w:val="0052274D"/>
    <w:rsid w:val="00522BDF"/>
    <w:rsid w:val="005232C3"/>
    <w:rsid w:val="00523508"/>
    <w:rsid w:val="005355A9"/>
    <w:rsid w:val="00535AF8"/>
    <w:rsid w:val="00535D2F"/>
    <w:rsid w:val="00542F1E"/>
    <w:rsid w:val="00545E94"/>
    <w:rsid w:val="005460CE"/>
    <w:rsid w:val="0055013B"/>
    <w:rsid w:val="00552243"/>
    <w:rsid w:val="005527E3"/>
    <w:rsid w:val="005538C7"/>
    <w:rsid w:val="0055598C"/>
    <w:rsid w:val="00556F0F"/>
    <w:rsid w:val="00557F0E"/>
    <w:rsid w:val="00557F1B"/>
    <w:rsid w:val="00560021"/>
    <w:rsid w:val="00560454"/>
    <w:rsid w:val="005630C6"/>
    <w:rsid w:val="005634EB"/>
    <w:rsid w:val="00563A9D"/>
    <w:rsid w:val="00563F3A"/>
    <w:rsid w:val="00564672"/>
    <w:rsid w:val="00565312"/>
    <w:rsid w:val="0056785B"/>
    <w:rsid w:val="00567FB2"/>
    <w:rsid w:val="0057031B"/>
    <w:rsid w:val="0057031E"/>
    <w:rsid w:val="005705DB"/>
    <w:rsid w:val="00570797"/>
    <w:rsid w:val="005712D0"/>
    <w:rsid w:val="00573B82"/>
    <w:rsid w:val="00573E62"/>
    <w:rsid w:val="005747A0"/>
    <w:rsid w:val="005758A0"/>
    <w:rsid w:val="00576229"/>
    <w:rsid w:val="00576545"/>
    <w:rsid w:val="00576982"/>
    <w:rsid w:val="005777A7"/>
    <w:rsid w:val="00581507"/>
    <w:rsid w:val="005837EA"/>
    <w:rsid w:val="00583ED6"/>
    <w:rsid w:val="005841B8"/>
    <w:rsid w:val="0058657F"/>
    <w:rsid w:val="00590F6F"/>
    <w:rsid w:val="0059196A"/>
    <w:rsid w:val="00591BF5"/>
    <w:rsid w:val="005935FF"/>
    <w:rsid w:val="0059472A"/>
    <w:rsid w:val="005A2FBE"/>
    <w:rsid w:val="005A3626"/>
    <w:rsid w:val="005A3CAC"/>
    <w:rsid w:val="005A6343"/>
    <w:rsid w:val="005A6789"/>
    <w:rsid w:val="005A77D9"/>
    <w:rsid w:val="005A7EEB"/>
    <w:rsid w:val="005B0B2A"/>
    <w:rsid w:val="005B7BD0"/>
    <w:rsid w:val="005C0005"/>
    <w:rsid w:val="005C3B47"/>
    <w:rsid w:val="005C4373"/>
    <w:rsid w:val="005C4E69"/>
    <w:rsid w:val="005C5513"/>
    <w:rsid w:val="005C611C"/>
    <w:rsid w:val="005C63A8"/>
    <w:rsid w:val="005C654D"/>
    <w:rsid w:val="005C7782"/>
    <w:rsid w:val="005C793C"/>
    <w:rsid w:val="005D0623"/>
    <w:rsid w:val="005D1338"/>
    <w:rsid w:val="005D1DBB"/>
    <w:rsid w:val="005D6290"/>
    <w:rsid w:val="005E1E4E"/>
    <w:rsid w:val="005E4DD2"/>
    <w:rsid w:val="005E5088"/>
    <w:rsid w:val="005E58B0"/>
    <w:rsid w:val="005E6BAE"/>
    <w:rsid w:val="005E6F7E"/>
    <w:rsid w:val="005E7422"/>
    <w:rsid w:val="005F0D8E"/>
    <w:rsid w:val="005F143B"/>
    <w:rsid w:val="005F2409"/>
    <w:rsid w:val="005F6C18"/>
    <w:rsid w:val="0060142A"/>
    <w:rsid w:val="00604EF3"/>
    <w:rsid w:val="00605FD9"/>
    <w:rsid w:val="00611D4C"/>
    <w:rsid w:val="006121F3"/>
    <w:rsid w:val="00612F3E"/>
    <w:rsid w:val="00613949"/>
    <w:rsid w:val="00620A93"/>
    <w:rsid w:val="00620E2A"/>
    <w:rsid w:val="00623F79"/>
    <w:rsid w:val="0062427E"/>
    <w:rsid w:val="00625CD0"/>
    <w:rsid w:val="0062633E"/>
    <w:rsid w:val="00632936"/>
    <w:rsid w:val="00633B38"/>
    <w:rsid w:val="00633B50"/>
    <w:rsid w:val="00633EBD"/>
    <w:rsid w:val="006358A6"/>
    <w:rsid w:val="00636293"/>
    <w:rsid w:val="00640679"/>
    <w:rsid w:val="006412F3"/>
    <w:rsid w:val="006419B6"/>
    <w:rsid w:val="00642B76"/>
    <w:rsid w:val="006433F5"/>
    <w:rsid w:val="006455F7"/>
    <w:rsid w:val="006469F5"/>
    <w:rsid w:val="00646F21"/>
    <w:rsid w:val="0065002A"/>
    <w:rsid w:val="00650ABD"/>
    <w:rsid w:val="006555E4"/>
    <w:rsid w:val="00655E17"/>
    <w:rsid w:val="006561DD"/>
    <w:rsid w:val="006563C1"/>
    <w:rsid w:val="006565DB"/>
    <w:rsid w:val="00656C31"/>
    <w:rsid w:val="0065752A"/>
    <w:rsid w:val="00661286"/>
    <w:rsid w:val="00661FCE"/>
    <w:rsid w:val="00662EA0"/>
    <w:rsid w:val="00664B7C"/>
    <w:rsid w:val="00666593"/>
    <w:rsid w:val="0067003A"/>
    <w:rsid w:val="00670051"/>
    <w:rsid w:val="00670870"/>
    <w:rsid w:val="006709CB"/>
    <w:rsid w:val="00672AC2"/>
    <w:rsid w:val="00673F0B"/>
    <w:rsid w:val="0067651A"/>
    <w:rsid w:val="00676660"/>
    <w:rsid w:val="00676EA1"/>
    <w:rsid w:val="0067738F"/>
    <w:rsid w:val="00677DE4"/>
    <w:rsid w:val="00677ED4"/>
    <w:rsid w:val="0068021D"/>
    <w:rsid w:val="006813C4"/>
    <w:rsid w:val="0068165C"/>
    <w:rsid w:val="006817EE"/>
    <w:rsid w:val="00681BA8"/>
    <w:rsid w:val="00682DA2"/>
    <w:rsid w:val="00687616"/>
    <w:rsid w:val="00687F36"/>
    <w:rsid w:val="006915E6"/>
    <w:rsid w:val="00691850"/>
    <w:rsid w:val="00691EFD"/>
    <w:rsid w:val="00691FD7"/>
    <w:rsid w:val="00692B0E"/>
    <w:rsid w:val="00694671"/>
    <w:rsid w:val="00695B21"/>
    <w:rsid w:val="006960F7"/>
    <w:rsid w:val="00696D68"/>
    <w:rsid w:val="00696EFF"/>
    <w:rsid w:val="0069775F"/>
    <w:rsid w:val="006A43A9"/>
    <w:rsid w:val="006A4702"/>
    <w:rsid w:val="006A5FE5"/>
    <w:rsid w:val="006A7226"/>
    <w:rsid w:val="006A78B9"/>
    <w:rsid w:val="006A7923"/>
    <w:rsid w:val="006A79F8"/>
    <w:rsid w:val="006B0411"/>
    <w:rsid w:val="006B066A"/>
    <w:rsid w:val="006B07D4"/>
    <w:rsid w:val="006B0BA8"/>
    <w:rsid w:val="006B1927"/>
    <w:rsid w:val="006B1A89"/>
    <w:rsid w:val="006B1F15"/>
    <w:rsid w:val="006B32B0"/>
    <w:rsid w:val="006B4776"/>
    <w:rsid w:val="006C0061"/>
    <w:rsid w:val="006C0FD2"/>
    <w:rsid w:val="006C2C1D"/>
    <w:rsid w:val="006C2DCE"/>
    <w:rsid w:val="006C3975"/>
    <w:rsid w:val="006C75FB"/>
    <w:rsid w:val="006D25CB"/>
    <w:rsid w:val="006D6AF0"/>
    <w:rsid w:val="006D6E1A"/>
    <w:rsid w:val="006D7361"/>
    <w:rsid w:val="006D736B"/>
    <w:rsid w:val="006E11AF"/>
    <w:rsid w:val="006E1298"/>
    <w:rsid w:val="006E4039"/>
    <w:rsid w:val="006E4175"/>
    <w:rsid w:val="006E58E2"/>
    <w:rsid w:val="006E5D66"/>
    <w:rsid w:val="006E6376"/>
    <w:rsid w:val="006E7C23"/>
    <w:rsid w:val="006E7DA5"/>
    <w:rsid w:val="006F1A3D"/>
    <w:rsid w:val="006F298C"/>
    <w:rsid w:val="006F38E9"/>
    <w:rsid w:val="006F3BCA"/>
    <w:rsid w:val="006F3D3F"/>
    <w:rsid w:val="006F3F51"/>
    <w:rsid w:val="006F5F24"/>
    <w:rsid w:val="006F5F6D"/>
    <w:rsid w:val="006F6A43"/>
    <w:rsid w:val="007011F3"/>
    <w:rsid w:val="007012FF"/>
    <w:rsid w:val="00702F59"/>
    <w:rsid w:val="007036D3"/>
    <w:rsid w:val="00704377"/>
    <w:rsid w:val="00705B77"/>
    <w:rsid w:val="00705CE0"/>
    <w:rsid w:val="00706003"/>
    <w:rsid w:val="00707948"/>
    <w:rsid w:val="007109C1"/>
    <w:rsid w:val="00711741"/>
    <w:rsid w:val="00711C33"/>
    <w:rsid w:val="00711CDD"/>
    <w:rsid w:val="00711D4B"/>
    <w:rsid w:val="007123FD"/>
    <w:rsid w:val="00712F9C"/>
    <w:rsid w:val="00712FB1"/>
    <w:rsid w:val="00717622"/>
    <w:rsid w:val="00726092"/>
    <w:rsid w:val="00726F18"/>
    <w:rsid w:val="00727A70"/>
    <w:rsid w:val="00731136"/>
    <w:rsid w:val="0073116B"/>
    <w:rsid w:val="0073220B"/>
    <w:rsid w:val="007345BB"/>
    <w:rsid w:val="0073612D"/>
    <w:rsid w:val="00737DDE"/>
    <w:rsid w:val="007428AE"/>
    <w:rsid w:val="00742D2B"/>
    <w:rsid w:val="00743F2A"/>
    <w:rsid w:val="00744C0B"/>
    <w:rsid w:val="00745510"/>
    <w:rsid w:val="00747B8A"/>
    <w:rsid w:val="00747EAD"/>
    <w:rsid w:val="00750763"/>
    <w:rsid w:val="00751A8E"/>
    <w:rsid w:val="00753069"/>
    <w:rsid w:val="0075357F"/>
    <w:rsid w:val="007559B8"/>
    <w:rsid w:val="00755A2E"/>
    <w:rsid w:val="00755C5E"/>
    <w:rsid w:val="00763B1F"/>
    <w:rsid w:val="00763DB8"/>
    <w:rsid w:val="007647DD"/>
    <w:rsid w:val="0076486E"/>
    <w:rsid w:val="00764BB2"/>
    <w:rsid w:val="0077168F"/>
    <w:rsid w:val="00771715"/>
    <w:rsid w:val="00771931"/>
    <w:rsid w:val="0077207D"/>
    <w:rsid w:val="00772C13"/>
    <w:rsid w:val="007733DB"/>
    <w:rsid w:val="0077395D"/>
    <w:rsid w:val="00775ACE"/>
    <w:rsid w:val="00776AB8"/>
    <w:rsid w:val="007803A7"/>
    <w:rsid w:val="00781774"/>
    <w:rsid w:val="00784997"/>
    <w:rsid w:val="007852BE"/>
    <w:rsid w:val="00785308"/>
    <w:rsid w:val="007902E7"/>
    <w:rsid w:val="00790E51"/>
    <w:rsid w:val="0079388A"/>
    <w:rsid w:val="007938EE"/>
    <w:rsid w:val="007951A2"/>
    <w:rsid w:val="00796464"/>
    <w:rsid w:val="007964AB"/>
    <w:rsid w:val="007972FB"/>
    <w:rsid w:val="00797722"/>
    <w:rsid w:val="007A3F89"/>
    <w:rsid w:val="007A5A09"/>
    <w:rsid w:val="007A7F2C"/>
    <w:rsid w:val="007B1F13"/>
    <w:rsid w:val="007B3F5A"/>
    <w:rsid w:val="007B4779"/>
    <w:rsid w:val="007C0682"/>
    <w:rsid w:val="007C10BD"/>
    <w:rsid w:val="007C2177"/>
    <w:rsid w:val="007C22DC"/>
    <w:rsid w:val="007C38D0"/>
    <w:rsid w:val="007C6EC7"/>
    <w:rsid w:val="007D178F"/>
    <w:rsid w:val="007D45F3"/>
    <w:rsid w:val="007D6615"/>
    <w:rsid w:val="007D7124"/>
    <w:rsid w:val="007E08C8"/>
    <w:rsid w:val="007E0BD3"/>
    <w:rsid w:val="007E1A14"/>
    <w:rsid w:val="007E2CB7"/>
    <w:rsid w:val="007E3241"/>
    <w:rsid w:val="007E6A15"/>
    <w:rsid w:val="007F253F"/>
    <w:rsid w:val="007F4599"/>
    <w:rsid w:val="007F4C3C"/>
    <w:rsid w:val="007F6703"/>
    <w:rsid w:val="00801A65"/>
    <w:rsid w:val="0080252B"/>
    <w:rsid w:val="008028A9"/>
    <w:rsid w:val="00804FF1"/>
    <w:rsid w:val="008061CD"/>
    <w:rsid w:val="008109D3"/>
    <w:rsid w:val="00810C07"/>
    <w:rsid w:val="00811892"/>
    <w:rsid w:val="008118B4"/>
    <w:rsid w:val="00811F09"/>
    <w:rsid w:val="00811FDC"/>
    <w:rsid w:val="008139C5"/>
    <w:rsid w:val="00813B5A"/>
    <w:rsid w:val="00813BCB"/>
    <w:rsid w:val="00814A23"/>
    <w:rsid w:val="00815E1F"/>
    <w:rsid w:val="00822983"/>
    <w:rsid w:val="00822C70"/>
    <w:rsid w:val="00824872"/>
    <w:rsid w:val="0083069B"/>
    <w:rsid w:val="00831B76"/>
    <w:rsid w:val="00831F4A"/>
    <w:rsid w:val="00834272"/>
    <w:rsid w:val="008400AC"/>
    <w:rsid w:val="008405F5"/>
    <w:rsid w:val="00841C15"/>
    <w:rsid w:val="00844B1D"/>
    <w:rsid w:val="00850B6E"/>
    <w:rsid w:val="008512EA"/>
    <w:rsid w:val="008552AC"/>
    <w:rsid w:val="00856302"/>
    <w:rsid w:val="00860D63"/>
    <w:rsid w:val="008629C9"/>
    <w:rsid w:val="00862A9C"/>
    <w:rsid w:val="00864F0E"/>
    <w:rsid w:val="00865E6D"/>
    <w:rsid w:val="00866423"/>
    <w:rsid w:val="00866F73"/>
    <w:rsid w:val="00867B55"/>
    <w:rsid w:val="00867E2F"/>
    <w:rsid w:val="00870E32"/>
    <w:rsid w:val="0087138C"/>
    <w:rsid w:val="00873870"/>
    <w:rsid w:val="00874260"/>
    <w:rsid w:val="00874E74"/>
    <w:rsid w:val="0087653C"/>
    <w:rsid w:val="0087668A"/>
    <w:rsid w:val="0087690B"/>
    <w:rsid w:val="00880338"/>
    <w:rsid w:val="00882E5C"/>
    <w:rsid w:val="008843BA"/>
    <w:rsid w:val="00890369"/>
    <w:rsid w:val="0089123E"/>
    <w:rsid w:val="008918F8"/>
    <w:rsid w:val="008920E8"/>
    <w:rsid w:val="0089444C"/>
    <w:rsid w:val="0089489A"/>
    <w:rsid w:val="008A048D"/>
    <w:rsid w:val="008A0C11"/>
    <w:rsid w:val="008A4ECC"/>
    <w:rsid w:val="008A5439"/>
    <w:rsid w:val="008A5A59"/>
    <w:rsid w:val="008B058C"/>
    <w:rsid w:val="008B0ECF"/>
    <w:rsid w:val="008B1243"/>
    <w:rsid w:val="008B1438"/>
    <w:rsid w:val="008B1AEC"/>
    <w:rsid w:val="008B27B7"/>
    <w:rsid w:val="008B457E"/>
    <w:rsid w:val="008B6F32"/>
    <w:rsid w:val="008B7BC0"/>
    <w:rsid w:val="008C02CD"/>
    <w:rsid w:val="008C25F3"/>
    <w:rsid w:val="008C3198"/>
    <w:rsid w:val="008C5200"/>
    <w:rsid w:val="008C6408"/>
    <w:rsid w:val="008C6576"/>
    <w:rsid w:val="008C6B68"/>
    <w:rsid w:val="008C6CC7"/>
    <w:rsid w:val="008D0593"/>
    <w:rsid w:val="008D41FB"/>
    <w:rsid w:val="008D5807"/>
    <w:rsid w:val="008D5AC9"/>
    <w:rsid w:val="008D5DA5"/>
    <w:rsid w:val="008D6B8D"/>
    <w:rsid w:val="008D7F98"/>
    <w:rsid w:val="008D7FBA"/>
    <w:rsid w:val="008E12CC"/>
    <w:rsid w:val="008E1351"/>
    <w:rsid w:val="008E203D"/>
    <w:rsid w:val="008E20A6"/>
    <w:rsid w:val="008E3538"/>
    <w:rsid w:val="008E3C0B"/>
    <w:rsid w:val="008E4B78"/>
    <w:rsid w:val="008F1583"/>
    <w:rsid w:val="008F1C2D"/>
    <w:rsid w:val="008F774C"/>
    <w:rsid w:val="008F794C"/>
    <w:rsid w:val="008F7E7E"/>
    <w:rsid w:val="0090133B"/>
    <w:rsid w:val="00902C57"/>
    <w:rsid w:val="009046EA"/>
    <w:rsid w:val="00904970"/>
    <w:rsid w:val="00906100"/>
    <w:rsid w:val="00907915"/>
    <w:rsid w:val="009079FA"/>
    <w:rsid w:val="009109B8"/>
    <w:rsid w:val="00911052"/>
    <w:rsid w:val="00913239"/>
    <w:rsid w:val="00914D9F"/>
    <w:rsid w:val="0092088F"/>
    <w:rsid w:val="0092217A"/>
    <w:rsid w:val="009241C1"/>
    <w:rsid w:val="00924B63"/>
    <w:rsid w:val="00925CC3"/>
    <w:rsid w:val="00930E6A"/>
    <w:rsid w:val="0093112B"/>
    <w:rsid w:val="00932F26"/>
    <w:rsid w:val="0093459F"/>
    <w:rsid w:val="00936AF7"/>
    <w:rsid w:val="009371BD"/>
    <w:rsid w:val="00937F75"/>
    <w:rsid w:val="00942227"/>
    <w:rsid w:val="0094389E"/>
    <w:rsid w:val="0094422A"/>
    <w:rsid w:val="00946307"/>
    <w:rsid w:val="00946E38"/>
    <w:rsid w:val="00950C27"/>
    <w:rsid w:val="0095115E"/>
    <w:rsid w:val="00951C87"/>
    <w:rsid w:val="00952D3C"/>
    <w:rsid w:val="00955550"/>
    <w:rsid w:val="00955731"/>
    <w:rsid w:val="00955820"/>
    <w:rsid w:val="0096013F"/>
    <w:rsid w:val="0096530B"/>
    <w:rsid w:val="009665F5"/>
    <w:rsid w:val="00967A8C"/>
    <w:rsid w:val="009733D1"/>
    <w:rsid w:val="00973C7E"/>
    <w:rsid w:val="00974792"/>
    <w:rsid w:val="00974BDF"/>
    <w:rsid w:val="00976245"/>
    <w:rsid w:val="00977C22"/>
    <w:rsid w:val="00977EE8"/>
    <w:rsid w:val="009810BF"/>
    <w:rsid w:val="0098113A"/>
    <w:rsid w:val="00981C5C"/>
    <w:rsid w:val="00983463"/>
    <w:rsid w:val="00983DEB"/>
    <w:rsid w:val="009860B2"/>
    <w:rsid w:val="00992BE6"/>
    <w:rsid w:val="009936B2"/>
    <w:rsid w:val="009965BA"/>
    <w:rsid w:val="009A08A5"/>
    <w:rsid w:val="009A1212"/>
    <w:rsid w:val="009A13BB"/>
    <w:rsid w:val="009A2D5F"/>
    <w:rsid w:val="009A3882"/>
    <w:rsid w:val="009A3EDA"/>
    <w:rsid w:val="009A445A"/>
    <w:rsid w:val="009A4A0A"/>
    <w:rsid w:val="009A5E34"/>
    <w:rsid w:val="009A7C47"/>
    <w:rsid w:val="009B0854"/>
    <w:rsid w:val="009B318D"/>
    <w:rsid w:val="009B3D15"/>
    <w:rsid w:val="009B41CE"/>
    <w:rsid w:val="009B53E0"/>
    <w:rsid w:val="009C11A1"/>
    <w:rsid w:val="009C2A15"/>
    <w:rsid w:val="009C2D81"/>
    <w:rsid w:val="009C50F5"/>
    <w:rsid w:val="009C78CC"/>
    <w:rsid w:val="009D069C"/>
    <w:rsid w:val="009D159C"/>
    <w:rsid w:val="009D4586"/>
    <w:rsid w:val="009D4594"/>
    <w:rsid w:val="009D5E90"/>
    <w:rsid w:val="009D7BA2"/>
    <w:rsid w:val="009E6106"/>
    <w:rsid w:val="009F0B66"/>
    <w:rsid w:val="009F36DE"/>
    <w:rsid w:val="009F4D0E"/>
    <w:rsid w:val="009F4E74"/>
    <w:rsid w:val="009F4F1C"/>
    <w:rsid w:val="009F5961"/>
    <w:rsid w:val="009F64D6"/>
    <w:rsid w:val="00A0126A"/>
    <w:rsid w:val="00A02A76"/>
    <w:rsid w:val="00A07F87"/>
    <w:rsid w:val="00A10D1D"/>
    <w:rsid w:val="00A1161A"/>
    <w:rsid w:val="00A1240A"/>
    <w:rsid w:val="00A14C8B"/>
    <w:rsid w:val="00A156CD"/>
    <w:rsid w:val="00A1780F"/>
    <w:rsid w:val="00A20360"/>
    <w:rsid w:val="00A20B45"/>
    <w:rsid w:val="00A20BD8"/>
    <w:rsid w:val="00A21850"/>
    <w:rsid w:val="00A22541"/>
    <w:rsid w:val="00A227FA"/>
    <w:rsid w:val="00A233EE"/>
    <w:rsid w:val="00A24541"/>
    <w:rsid w:val="00A248AD"/>
    <w:rsid w:val="00A24F02"/>
    <w:rsid w:val="00A25921"/>
    <w:rsid w:val="00A26CA0"/>
    <w:rsid w:val="00A311D6"/>
    <w:rsid w:val="00A3383C"/>
    <w:rsid w:val="00A42AFE"/>
    <w:rsid w:val="00A4643D"/>
    <w:rsid w:val="00A50D78"/>
    <w:rsid w:val="00A529C6"/>
    <w:rsid w:val="00A52AA7"/>
    <w:rsid w:val="00A57C55"/>
    <w:rsid w:val="00A605B1"/>
    <w:rsid w:val="00A6091D"/>
    <w:rsid w:val="00A61660"/>
    <w:rsid w:val="00A61668"/>
    <w:rsid w:val="00A6239C"/>
    <w:rsid w:val="00A637E4"/>
    <w:rsid w:val="00A65CE1"/>
    <w:rsid w:val="00A65E3F"/>
    <w:rsid w:val="00A7100A"/>
    <w:rsid w:val="00A71D3E"/>
    <w:rsid w:val="00A72974"/>
    <w:rsid w:val="00A732F3"/>
    <w:rsid w:val="00A73529"/>
    <w:rsid w:val="00A739A2"/>
    <w:rsid w:val="00A7441C"/>
    <w:rsid w:val="00A74C5A"/>
    <w:rsid w:val="00A74E08"/>
    <w:rsid w:val="00A75401"/>
    <w:rsid w:val="00A75642"/>
    <w:rsid w:val="00A76444"/>
    <w:rsid w:val="00A77A6B"/>
    <w:rsid w:val="00A77D3C"/>
    <w:rsid w:val="00A77F24"/>
    <w:rsid w:val="00A83B89"/>
    <w:rsid w:val="00A8455E"/>
    <w:rsid w:val="00A84FDD"/>
    <w:rsid w:val="00A85FDE"/>
    <w:rsid w:val="00A8619B"/>
    <w:rsid w:val="00A86DDF"/>
    <w:rsid w:val="00A87B43"/>
    <w:rsid w:val="00A90620"/>
    <w:rsid w:val="00A90960"/>
    <w:rsid w:val="00A9150C"/>
    <w:rsid w:val="00A91C7E"/>
    <w:rsid w:val="00A91D43"/>
    <w:rsid w:val="00A92C04"/>
    <w:rsid w:val="00A93265"/>
    <w:rsid w:val="00A9616C"/>
    <w:rsid w:val="00A97DC4"/>
    <w:rsid w:val="00AA0A8A"/>
    <w:rsid w:val="00AA0CD9"/>
    <w:rsid w:val="00AA17EC"/>
    <w:rsid w:val="00AA1A26"/>
    <w:rsid w:val="00AA280F"/>
    <w:rsid w:val="00AA3D06"/>
    <w:rsid w:val="00AA4EC2"/>
    <w:rsid w:val="00AA6142"/>
    <w:rsid w:val="00AA6B25"/>
    <w:rsid w:val="00AB0128"/>
    <w:rsid w:val="00AB1A83"/>
    <w:rsid w:val="00AB2B2E"/>
    <w:rsid w:val="00AB3281"/>
    <w:rsid w:val="00AB374A"/>
    <w:rsid w:val="00AB6E3E"/>
    <w:rsid w:val="00AB731A"/>
    <w:rsid w:val="00AC057E"/>
    <w:rsid w:val="00AC0A18"/>
    <w:rsid w:val="00AC1AAD"/>
    <w:rsid w:val="00AC1ABA"/>
    <w:rsid w:val="00AC398F"/>
    <w:rsid w:val="00AC6092"/>
    <w:rsid w:val="00AC77DA"/>
    <w:rsid w:val="00AD093C"/>
    <w:rsid w:val="00AD138C"/>
    <w:rsid w:val="00AD144B"/>
    <w:rsid w:val="00AD4CB5"/>
    <w:rsid w:val="00AD681E"/>
    <w:rsid w:val="00AD6D80"/>
    <w:rsid w:val="00AD6E91"/>
    <w:rsid w:val="00AD7011"/>
    <w:rsid w:val="00AD7281"/>
    <w:rsid w:val="00AD76ED"/>
    <w:rsid w:val="00AD7B05"/>
    <w:rsid w:val="00AE41BE"/>
    <w:rsid w:val="00AE44DD"/>
    <w:rsid w:val="00AE47D1"/>
    <w:rsid w:val="00AE6076"/>
    <w:rsid w:val="00AE72D7"/>
    <w:rsid w:val="00AF14CF"/>
    <w:rsid w:val="00AF2703"/>
    <w:rsid w:val="00AF2D6A"/>
    <w:rsid w:val="00AF3A31"/>
    <w:rsid w:val="00AF3A78"/>
    <w:rsid w:val="00AF6138"/>
    <w:rsid w:val="00B005AD"/>
    <w:rsid w:val="00B01A3E"/>
    <w:rsid w:val="00B02B4F"/>
    <w:rsid w:val="00B03965"/>
    <w:rsid w:val="00B04D25"/>
    <w:rsid w:val="00B04E30"/>
    <w:rsid w:val="00B068C7"/>
    <w:rsid w:val="00B10114"/>
    <w:rsid w:val="00B12E41"/>
    <w:rsid w:val="00B168A2"/>
    <w:rsid w:val="00B201A9"/>
    <w:rsid w:val="00B20636"/>
    <w:rsid w:val="00B211D7"/>
    <w:rsid w:val="00B21CCE"/>
    <w:rsid w:val="00B24376"/>
    <w:rsid w:val="00B2628F"/>
    <w:rsid w:val="00B27A93"/>
    <w:rsid w:val="00B3153D"/>
    <w:rsid w:val="00B3337C"/>
    <w:rsid w:val="00B33B0C"/>
    <w:rsid w:val="00B37622"/>
    <w:rsid w:val="00B4089B"/>
    <w:rsid w:val="00B41AEE"/>
    <w:rsid w:val="00B441A0"/>
    <w:rsid w:val="00B44E55"/>
    <w:rsid w:val="00B4642D"/>
    <w:rsid w:val="00B509AE"/>
    <w:rsid w:val="00B51430"/>
    <w:rsid w:val="00B52455"/>
    <w:rsid w:val="00B52ECB"/>
    <w:rsid w:val="00B53135"/>
    <w:rsid w:val="00B53B82"/>
    <w:rsid w:val="00B61938"/>
    <w:rsid w:val="00B65933"/>
    <w:rsid w:val="00B66F98"/>
    <w:rsid w:val="00B700B9"/>
    <w:rsid w:val="00B70CE2"/>
    <w:rsid w:val="00B72F2E"/>
    <w:rsid w:val="00B732E6"/>
    <w:rsid w:val="00B7486B"/>
    <w:rsid w:val="00B74B87"/>
    <w:rsid w:val="00B77D0E"/>
    <w:rsid w:val="00B77E4E"/>
    <w:rsid w:val="00B81014"/>
    <w:rsid w:val="00B81469"/>
    <w:rsid w:val="00B83C5F"/>
    <w:rsid w:val="00B83FF7"/>
    <w:rsid w:val="00B85933"/>
    <w:rsid w:val="00B85A01"/>
    <w:rsid w:val="00B85E0A"/>
    <w:rsid w:val="00B86012"/>
    <w:rsid w:val="00B86853"/>
    <w:rsid w:val="00B87A17"/>
    <w:rsid w:val="00B94DCA"/>
    <w:rsid w:val="00B970FA"/>
    <w:rsid w:val="00B97B11"/>
    <w:rsid w:val="00BA0B43"/>
    <w:rsid w:val="00BA0BC3"/>
    <w:rsid w:val="00BA0EF2"/>
    <w:rsid w:val="00BA427F"/>
    <w:rsid w:val="00BA4295"/>
    <w:rsid w:val="00BA5DEB"/>
    <w:rsid w:val="00BB08EA"/>
    <w:rsid w:val="00BB2D47"/>
    <w:rsid w:val="00BB3667"/>
    <w:rsid w:val="00BB3DAB"/>
    <w:rsid w:val="00BB47FD"/>
    <w:rsid w:val="00BB4F10"/>
    <w:rsid w:val="00BB6A55"/>
    <w:rsid w:val="00BC2918"/>
    <w:rsid w:val="00BC2E66"/>
    <w:rsid w:val="00BC2F63"/>
    <w:rsid w:val="00BC4067"/>
    <w:rsid w:val="00BC6A52"/>
    <w:rsid w:val="00BC6A7D"/>
    <w:rsid w:val="00BD1FCA"/>
    <w:rsid w:val="00BD256B"/>
    <w:rsid w:val="00BD3210"/>
    <w:rsid w:val="00BD32D7"/>
    <w:rsid w:val="00BD4464"/>
    <w:rsid w:val="00BD560F"/>
    <w:rsid w:val="00BD5D16"/>
    <w:rsid w:val="00BD5EDF"/>
    <w:rsid w:val="00BE0C40"/>
    <w:rsid w:val="00BE7660"/>
    <w:rsid w:val="00C007E4"/>
    <w:rsid w:val="00C03852"/>
    <w:rsid w:val="00C04007"/>
    <w:rsid w:val="00C046BF"/>
    <w:rsid w:val="00C046C9"/>
    <w:rsid w:val="00C05EE2"/>
    <w:rsid w:val="00C06328"/>
    <w:rsid w:val="00C101BA"/>
    <w:rsid w:val="00C1360D"/>
    <w:rsid w:val="00C1759D"/>
    <w:rsid w:val="00C17852"/>
    <w:rsid w:val="00C17942"/>
    <w:rsid w:val="00C1799D"/>
    <w:rsid w:val="00C20A13"/>
    <w:rsid w:val="00C22EFF"/>
    <w:rsid w:val="00C235B7"/>
    <w:rsid w:val="00C25E70"/>
    <w:rsid w:val="00C2702C"/>
    <w:rsid w:val="00C27654"/>
    <w:rsid w:val="00C27693"/>
    <w:rsid w:val="00C279EB"/>
    <w:rsid w:val="00C27B59"/>
    <w:rsid w:val="00C318D7"/>
    <w:rsid w:val="00C32B2A"/>
    <w:rsid w:val="00C32F3E"/>
    <w:rsid w:val="00C33378"/>
    <w:rsid w:val="00C366D6"/>
    <w:rsid w:val="00C36A05"/>
    <w:rsid w:val="00C441CC"/>
    <w:rsid w:val="00C444A3"/>
    <w:rsid w:val="00C450F7"/>
    <w:rsid w:val="00C45E0D"/>
    <w:rsid w:val="00C4626D"/>
    <w:rsid w:val="00C467AC"/>
    <w:rsid w:val="00C4747D"/>
    <w:rsid w:val="00C54C44"/>
    <w:rsid w:val="00C54FC7"/>
    <w:rsid w:val="00C5613F"/>
    <w:rsid w:val="00C56E63"/>
    <w:rsid w:val="00C621FD"/>
    <w:rsid w:val="00C6414F"/>
    <w:rsid w:val="00C64811"/>
    <w:rsid w:val="00C64F62"/>
    <w:rsid w:val="00C665D2"/>
    <w:rsid w:val="00C6672C"/>
    <w:rsid w:val="00C71A0F"/>
    <w:rsid w:val="00C725B8"/>
    <w:rsid w:val="00C73BB1"/>
    <w:rsid w:val="00C73D13"/>
    <w:rsid w:val="00C7650B"/>
    <w:rsid w:val="00C76D7F"/>
    <w:rsid w:val="00C8029C"/>
    <w:rsid w:val="00C802A0"/>
    <w:rsid w:val="00C807FD"/>
    <w:rsid w:val="00C81159"/>
    <w:rsid w:val="00C81192"/>
    <w:rsid w:val="00C8187B"/>
    <w:rsid w:val="00C83BF4"/>
    <w:rsid w:val="00C84EF6"/>
    <w:rsid w:val="00C8735F"/>
    <w:rsid w:val="00C925F6"/>
    <w:rsid w:val="00C9281E"/>
    <w:rsid w:val="00C953D5"/>
    <w:rsid w:val="00C967AB"/>
    <w:rsid w:val="00CA0656"/>
    <w:rsid w:val="00CA0795"/>
    <w:rsid w:val="00CA196E"/>
    <w:rsid w:val="00CA27C1"/>
    <w:rsid w:val="00CA476D"/>
    <w:rsid w:val="00CA6CAE"/>
    <w:rsid w:val="00CA7B89"/>
    <w:rsid w:val="00CB3650"/>
    <w:rsid w:val="00CB3B40"/>
    <w:rsid w:val="00CB4D3E"/>
    <w:rsid w:val="00CB6207"/>
    <w:rsid w:val="00CB6EE9"/>
    <w:rsid w:val="00CC05D1"/>
    <w:rsid w:val="00CC0BE1"/>
    <w:rsid w:val="00CC117F"/>
    <w:rsid w:val="00CC1D00"/>
    <w:rsid w:val="00CC2E91"/>
    <w:rsid w:val="00CC3897"/>
    <w:rsid w:val="00CC39D7"/>
    <w:rsid w:val="00CC54E7"/>
    <w:rsid w:val="00CD002E"/>
    <w:rsid w:val="00CD02E3"/>
    <w:rsid w:val="00CD067D"/>
    <w:rsid w:val="00CD139A"/>
    <w:rsid w:val="00CD2E88"/>
    <w:rsid w:val="00CD6A4B"/>
    <w:rsid w:val="00CD79C4"/>
    <w:rsid w:val="00CE055E"/>
    <w:rsid w:val="00CE1D94"/>
    <w:rsid w:val="00CE2F2F"/>
    <w:rsid w:val="00CE3E1B"/>
    <w:rsid w:val="00CE469B"/>
    <w:rsid w:val="00CE7109"/>
    <w:rsid w:val="00CF2511"/>
    <w:rsid w:val="00CF47A4"/>
    <w:rsid w:val="00CF599A"/>
    <w:rsid w:val="00CF7D7B"/>
    <w:rsid w:val="00D0262F"/>
    <w:rsid w:val="00D03EEE"/>
    <w:rsid w:val="00D04E23"/>
    <w:rsid w:val="00D0665D"/>
    <w:rsid w:val="00D06860"/>
    <w:rsid w:val="00D07284"/>
    <w:rsid w:val="00D1077C"/>
    <w:rsid w:val="00D10A2A"/>
    <w:rsid w:val="00D11743"/>
    <w:rsid w:val="00D117AA"/>
    <w:rsid w:val="00D13B64"/>
    <w:rsid w:val="00D13FE6"/>
    <w:rsid w:val="00D176AE"/>
    <w:rsid w:val="00D17EB3"/>
    <w:rsid w:val="00D17FB5"/>
    <w:rsid w:val="00D20612"/>
    <w:rsid w:val="00D21B63"/>
    <w:rsid w:val="00D222EB"/>
    <w:rsid w:val="00D23624"/>
    <w:rsid w:val="00D249ED"/>
    <w:rsid w:val="00D2572E"/>
    <w:rsid w:val="00D26E8E"/>
    <w:rsid w:val="00D27848"/>
    <w:rsid w:val="00D27EEE"/>
    <w:rsid w:val="00D33EDD"/>
    <w:rsid w:val="00D3441C"/>
    <w:rsid w:val="00D350FE"/>
    <w:rsid w:val="00D352D1"/>
    <w:rsid w:val="00D35F13"/>
    <w:rsid w:val="00D366C1"/>
    <w:rsid w:val="00D3730D"/>
    <w:rsid w:val="00D40C41"/>
    <w:rsid w:val="00D427FE"/>
    <w:rsid w:val="00D44443"/>
    <w:rsid w:val="00D44D68"/>
    <w:rsid w:val="00D46FBB"/>
    <w:rsid w:val="00D50119"/>
    <w:rsid w:val="00D501F1"/>
    <w:rsid w:val="00D50547"/>
    <w:rsid w:val="00D51088"/>
    <w:rsid w:val="00D51BE5"/>
    <w:rsid w:val="00D538BF"/>
    <w:rsid w:val="00D54F80"/>
    <w:rsid w:val="00D55830"/>
    <w:rsid w:val="00D57B89"/>
    <w:rsid w:val="00D62E22"/>
    <w:rsid w:val="00D65B42"/>
    <w:rsid w:val="00D66799"/>
    <w:rsid w:val="00D705AA"/>
    <w:rsid w:val="00D70AD0"/>
    <w:rsid w:val="00D71290"/>
    <w:rsid w:val="00D717D0"/>
    <w:rsid w:val="00D71965"/>
    <w:rsid w:val="00D735A2"/>
    <w:rsid w:val="00D73AA9"/>
    <w:rsid w:val="00D73B88"/>
    <w:rsid w:val="00D73BD6"/>
    <w:rsid w:val="00D7610E"/>
    <w:rsid w:val="00D76DD0"/>
    <w:rsid w:val="00D775C3"/>
    <w:rsid w:val="00D8037B"/>
    <w:rsid w:val="00D81B29"/>
    <w:rsid w:val="00D82901"/>
    <w:rsid w:val="00D82B00"/>
    <w:rsid w:val="00D84192"/>
    <w:rsid w:val="00D8515A"/>
    <w:rsid w:val="00D86529"/>
    <w:rsid w:val="00D929BA"/>
    <w:rsid w:val="00D96F12"/>
    <w:rsid w:val="00D974A2"/>
    <w:rsid w:val="00DA0444"/>
    <w:rsid w:val="00DA1318"/>
    <w:rsid w:val="00DA2013"/>
    <w:rsid w:val="00DA3037"/>
    <w:rsid w:val="00DA4596"/>
    <w:rsid w:val="00DA4FCE"/>
    <w:rsid w:val="00DA50D1"/>
    <w:rsid w:val="00DA5F96"/>
    <w:rsid w:val="00DA7739"/>
    <w:rsid w:val="00DA7C54"/>
    <w:rsid w:val="00DB1F11"/>
    <w:rsid w:val="00DB2D57"/>
    <w:rsid w:val="00DB5E3D"/>
    <w:rsid w:val="00DB640D"/>
    <w:rsid w:val="00DC0262"/>
    <w:rsid w:val="00DC0520"/>
    <w:rsid w:val="00DC0EBC"/>
    <w:rsid w:val="00DC15EA"/>
    <w:rsid w:val="00DC795E"/>
    <w:rsid w:val="00DC7B8C"/>
    <w:rsid w:val="00DC7E51"/>
    <w:rsid w:val="00DD1EC8"/>
    <w:rsid w:val="00DD2A8A"/>
    <w:rsid w:val="00DD3FB0"/>
    <w:rsid w:val="00DD7C14"/>
    <w:rsid w:val="00DE0AAF"/>
    <w:rsid w:val="00DE12E6"/>
    <w:rsid w:val="00DE19CB"/>
    <w:rsid w:val="00DE1A0E"/>
    <w:rsid w:val="00DE311E"/>
    <w:rsid w:val="00DE6D73"/>
    <w:rsid w:val="00DE7472"/>
    <w:rsid w:val="00DF1319"/>
    <w:rsid w:val="00DF18BB"/>
    <w:rsid w:val="00DF42D1"/>
    <w:rsid w:val="00DF5E05"/>
    <w:rsid w:val="00E0212A"/>
    <w:rsid w:val="00E02F22"/>
    <w:rsid w:val="00E037FE"/>
    <w:rsid w:val="00E03B17"/>
    <w:rsid w:val="00E05ACB"/>
    <w:rsid w:val="00E070C8"/>
    <w:rsid w:val="00E100F8"/>
    <w:rsid w:val="00E104B5"/>
    <w:rsid w:val="00E107B8"/>
    <w:rsid w:val="00E10E1F"/>
    <w:rsid w:val="00E11D56"/>
    <w:rsid w:val="00E12870"/>
    <w:rsid w:val="00E12EB7"/>
    <w:rsid w:val="00E134B7"/>
    <w:rsid w:val="00E13A7B"/>
    <w:rsid w:val="00E13E0A"/>
    <w:rsid w:val="00E144CB"/>
    <w:rsid w:val="00E15B21"/>
    <w:rsid w:val="00E16A9F"/>
    <w:rsid w:val="00E170D4"/>
    <w:rsid w:val="00E17117"/>
    <w:rsid w:val="00E20557"/>
    <w:rsid w:val="00E220AC"/>
    <w:rsid w:val="00E2227F"/>
    <w:rsid w:val="00E227F2"/>
    <w:rsid w:val="00E24461"/>
    <w:rsid w:val="00E2516F"/>
    <w:rsid w:val="00E26FD8"/>
    <w:rsid w:val="00E32E0F"/>
    <w:rsid w:val="00E3350B"/>
    <w:rsid w:val="00E33C71"/>
    <w:rsid w:val="00E34894"/>
    <w:rsid w:val="00E35EE9"/>
    <w:rsid w:val="00E360F7"/>
    <w:rsid w:val="00E373E9"/>
    <w:rsid w:val="00E40CCC"/>
    <w:rsid w:val="00E415F1"/>
    <w:rsid w:val="00E45D80"/>
    <w:rsid w:val="00E47961"/>
    <w:rsid w:val="00E50223"/>
    <w:rsid w:val="00E50570"/>
    <w:rsid w:val="00E521B0"/>
    <w:rsid w:val="00E53198"/>
    <w:rsid w:val="00E57A07"/>
    <w:rsid w:val="00E613FD"/>
    <w:rsid w:val="00E65156"/>
    <w:rsid w:val="00E65F67"/>
    <w:rsid w:val="00E66A65"/>
    <w:rsid w:val="00E66B2F"/>
    <w:rsid w:val="00E66ED3"/>
    <w:rsid w:val="00E67002"/>
    <w:rsid w:val="00E701CE"/>
    <w:rsid w:val="00E71EE6"/>
    <w:rsid w:val="00E737B4"/>
    <w:rsid w:val="00E74182"/>
    <w:rsid w:val="00E744AC"/>
    <w:rsid w:val="00E74637"/>
    <w:rsid w:val="00E75F20"/>
    <w:rsid w:val="00E77132"/>
    <w:rsid w:val="00E77847"/>
    <w:rsid w:val="00E8048E"/>
    <w:rsid w:val="00E812FF"/>
    <w:rsid w:val="00E825C7"/>
    <w:rsid w:val="00E8572D"/>
    <w:rsid w:val="00E86B3F"/>
    <w:rsid w:val="00E86B7F"/>
    <w:rsid w:val="00E93B3E"/>
    <w:rsid w:val="00E945BA"/>
    <w:rsid w:val="00E9472D"/>
    <w:rsid w:val="00E94847"/>
    <w:rsid w:val="00E94FC2"/>
    <w:rsid w:val="00E9614B"/>
    <w:rsid w:val="00EA10D0"/>
    <w:rsid w:val="00EA211E"/>
    <w:rsid w:val="00EA3999"/>
    <w:rsid w:val="00EA5F81"/>
    <w:rsid w:val="00EA6BC6"/>
    <w:rsid w:val="00EB0CA2"/>
    <w:rsid w:val="00EB1879"/>
    <w:rsid w:val="00EB2818"/>
    <w:rsid w:val="00EB343C"/>
    <w:rsid w:val="00EC0668"/>
    <w:rsid w:val="00EC0A12"/>
    <w:rsid w:val="00EC2A76"/>
    <w:rsid w:val="00EC3461"/>
    <w:rsid w:val="00EC3DE8"/>
    <w:rsid w:val="00EC4E1E"/>
    <w:rsid w:val="00EC5068"/>
    <w:rsid w:val="00EC54A5"/>
    <w:rsid w:val="00EC5F00"/>
    <w:rsid w:val="00EC6552"/>
    <w:rsid w:val="00EC70FB"/>
    <w:rsid w:val="00ED2543"/>
    <w:rsid w:val="00ED6EE6"/>
    <w:rsid w:val="00ED7FAF"/>
    <w:rsid w:val="00EE0391"/>
    <w:rsid w:val="00EE04F7"/>
    <w:rsid w:val="00EE0986"/>
    <w:rsid w:val="00EE7826"/>
    <w:rsid w:val="00EE7AD3"/>
    <w:rsid w:val="00EE7ECF"/>
    <w:rsid w:val="00EF0017"/>
    <w:rsid w:val="00EF06BF"/>
    <w:rsid w:val="00EF413F"/>
    <w:rsid w:val="00EF4299"/>
    <w:rsid w:val="00EF6026"/>
    <w:rsid w:val="00F01ADB"/>
    <w:rsid w:val="00F01DDA"/>
    <w:rsid w:val="00F022A7"/>
    <w:rsid w:val="00F04A12"/>
    <w:rsid w:val="00F05BB0"/>
    <w:rsid w:val="00F05D76"/>
    <w:rsid w:val="00F074BD"/>
    <w:rsid w:val="00F075B2"/>
    <w:rsid w:val="00F114EE"/>
    <w:rsid w:val="00F118D6"/>
    <w:rsid w:val="00F121E8"/>
    <w:rsid w:val="00F16B9D"/>
    <w:rsid w:val="00F16D4A"/>
    <w:rsid w:val="00F21089"/>
    <w:rsid w:val="00F23830"/>
    <w:rsid w:val="00F24165"/>
    <w:rsid w:val="00F24A61"/>
    <w:rsid w:val="00F273C1"/>
    <w:rsid w:val="00F3348D"/>
    <w:rsid w:val="00F35184"/>
    <w:rsid w:val="00F356A9"/>
    <w:rsid w:val="00F35C04"/>
    <w:rsid w:val="00F36295"/>
    <w:rsid w:val="00F4098A"/>
    <w:rsid w:val="00F40E40"/>
    <w:rsid w:val="00F42193"/>
    <w:rsid w:val="00F43A8A"/>
    <w:rsid w:val="00F449AE"/>
    <w:rsid w:val="00F46F18"/>
    <w:rsid w:val="00F50451"/>
    <w:rsid w:val="00F5078E"/>
    <w:rsid w:val="00F52110"/>
    <w:rsid w:val="00F52265"/>
    <w:rsid w:val="00F6299D"/>
    <w:rsid w:val="00F642B2"/>
    <w:rsid w:val="00F65B49"/>
    <w:rsid w:val="00F66388"/>
    <w:rsid w:val="00F719BF"/>
    <w:rsid w:val="00F74AB8"/>
    <w:rsid w:val="00F76676"/>
    <w:rsid w:val="00F76804"/>
    <w:rsid w:val="00F76D4B"/>
    <w:rsid w:val="00F76F50"/>
    <w:rsid w:val="00F77009"/>
    <w:rsid w:val="00F77368"/>
    <w:rsid w:val="00F804AE"/>
    <w:rsid w:val="00F80631"/>
    <w:rsid w:val="00F808F8"/>
    <w:rsid w:val="00F80E08"/>
    <w:rsid w:val="00F83BA2"/>
    <w:rsid w:val="00F83DA0"/>
    <w:rsid w:val="00F84CC8"/>
    <w:rsid w:val="00F9154C"/>
    <w:rsid w:val="00F919DC"/>
    <w:rsid w:val="00F92B43"/>
    <w:rsid w:val="00F9380A"/>
    <w:rsid w:val="00F93B4B"/>
    <w:rsid w:val="00F96029"/>
    <w:rsid w:val="00FA2DE5"/>
    <w:rsid w:val="00FA4273"/>
    <w:rsid w:val="00FA522D"/>
    <w:rsid w:val="00FB2095"/>
    <w:rsid w:val="00FB21C6"/>
    <w:rsid w:val="00FB596F"/>
    <w:rsid w:val="00FB5F39"/>
    <w:rsid w:val="00FC0053"/>
    <w:rsid w:val="00FC134B"/>
    <w:rsid w:val="00FC2C41"/>
    <w:rsid w:val="00FC2F03"/>
    <w:rsid w:val="00FC4BB6"/>
    <w:rsid w:val="00FC546A"/>
    <w:rsid w:val="00FC74BD"/>
    <w:rsid w:val="00FC7F99"/>
    <w:rsid w:val="00FD40FA"/>
    <w:rsid w:val="00FD5159"/>
    <w:rsid w:val="00FD77F0"/>
    <w:rsid w:val="00FD7985"/>
    <w:rsid w:val="00FE0795"/>
    <w:rsid w:val="00FE4874"/>
    <w:rsid w:val="00FF029D"/>
    <w:rsid w:val="00FF0774"/>
    <w:rsid w:val="00FF328E"/>
    <w:rsid w:val="00FF4662"/>
    <w:rsid w:val="00FF5966"/>
    <w:rsid w:val="00FF5AA0"/>
    <w:rsid w:val="00FF5F38"/>
    <w:rsid w:val="00FF5F3C"/>
    <w:rsid w:val="00FF7970"/>
    <w:rsid w:val="00FF7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6673"/>
    <o:shapelayout v:ext="edit">
      <o:idmap v:ext="edit" data="1"/>
    </o:shapelayout>
  </w:shapeDefaults>
  <w:decimalSymbol w:val="."/>
  <w:listSeparator w:val=","/>
  <w14:docId w14:val="423B0087"/>
  <w15:docId w15:val="{3B97573F-7FAD-4782-B577-ECAD8C4B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7D0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6A67"/>
    <w:pPr>
      <w:spacing w:line="480" w:lineRule="auto"/>
      <w:ind w:firstLine="720"/>
    </w:pPr>
  </w:style>
  <w:style w:type="paragraph" w:styleId="Header">
    <w:name w:val="header"/>
    <w:basedOn w:val="Normal"/>
    <w:rsid w:val="00D56A67"/>
    <w:pPr>
      <w:tabs>
        <w:tab w:val="center" w:pos="4320"/>
        <w:tab w:val="right" w:pos="8640"/>
      </w:tabs>
    </w:pPr>
  </w:style>
  <w:style w:type="paragraph" w:styleId="Footer">
    <w:name w:val="footer"/>
    <w:basedOn w:val="Normal"/>
    <w:link w:val="FooterChar"/>
    <w:uiPriority w:val="99"/>
    <w:rsid w:val="00D56A67"/>
    <w:pPr>
      <w:tabs>
        <w:tab w:val="center" w:pos="4320"/>
        <w:tab w:val="right" w:pos="8640"/>
      </w:tabs>
    </w:pPr>
  </w:style>
  <w:style w:type="character" w:styleId="Hyperlink">
    <w:name w:val="Hyperlink"/>
    <w:uiPriority w:val="99"/>
    <w:rsid w:val="0060332C"/>
    <w:rPr>
      <w:color w:val="0000FF"/>
      <w:u w:val="single"/>
    </w:rPr>
  </w:style>
  <w:style w:type="character" w:styleId="CommentReference">
    <w:name w:val="annotation reference"/>
    <w:rsid w:val="004F2C61"/>
    <w:rPr>
      <w:sz w:val="16"/>
      <w:szCs w:val="16"/>
    </w:rPr>
  </w:style>
  <w:style w:type="paragraph" w:styleId="CommentText">
    <w:name w:val="annotation text"/>
    <w:basedOn w:val="Normal"/>
    <w:link w:val="CommentTextChar"/>
    <w:rsid w:val="004F2C61"/>
    <w:rPr>
      <w:sz w:val="20"/>
      <w:szCs w:val="20"/>
    </w:rPr>
  </w:style>
  <w:style w:type="character" w:customStyle="1" w:styleId="CommentTextChar">
    <w:name w:val="Comment Text Char"/>
    <w:basedOn w:val="DefaultParagraphFont"/>
    <w:link w:val="CommentText"/>
    <w:rsid w:val="004F2C61"/>
  </w:style>
  <w:style w:type="paragraph" w:styleId="CommentSubject">
    <w:name w:val="annotation subject"/>
    <w:basedOn w:val="CommentText"/>
    <w:next w:val="CommentText"/>
    <w:link w:val="CommentSubjectChar"/>
    <w:rsid w:val="004F2C61"/>
    <w:rPr>
      <w:b/>
      <w:bCs/>
    </w:rPr>
  </w:style>
  <w:style w:type="character" w:customStyle="1" w:styleId="CommentSubjectChar">
    <w:name w:val="Comment Subject Char"/>
    <w:link w:val="CommentSubject"/>
    <w:rsid w:val="004F2C61"/>
    <w:rPr>
      <w:b/>
      <w:bCs/>
    </w:rPr>
  </w:style>
  <w:style w:type="paragraph" w:styleId="BalloonText">
    <w:name w:val="Balloon Text"/>
    <w:basedOn w:val="Normal"/>
    <w:link w:val="BalloonTextChar"/>
    <w:rsid w:val="004F2C61"/>
    <w:rPr>
      <w:rFonts w:ascii="Tahoma" w:hAnsi="Tahoma" w:cs="Tahoma"/>
      <w:sz w:val="16"/>
      <w:szCs w:val="16"/>
    </w:rPr>
  </w:style>
  <w:style w:type="character" w:customStyle="1" w:styleId="BalloonTextChar">
    <w:name w:val="Balloon Text Char"/>
    <w:link w:val="BalloonText"/>
    <w:rsid w:val="004F2C61"/>
    <w:rPr>
      <w:rFonts w:ascii="Tahoma" w:hAnsi="Tahoma" w:cs="Tahoma"/>
      <w:sz w:val="16"/>
      <w:szCs w:val="16"/>
    </w:rPr>
  </w:style>
  <w:style w:type="paragraph" w:styleId="HTMLPreformatted">
    <w:name w:val="HTML Preformatted"/>
    <w:basedOn w:val="Normal"/>
    <w:link w:val="HTMLPreformattedChar"/>
    <w:uiPriority w:val="99"/>
    <w:rsid w:val="007060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link w:val="HTMLPreformatted"/>
    <w:uiPriority w:val="99"/>
    <w:rsid w:val="00D81B29"/>
    <w:rPr>
      <w:rFonts w:ascii="Courier New" w:hAnsi="Courier New" w:cs="Courier New"/>
      <w:color w:val="000000"/>
    </w:rPr>
  </w:style>
  <w:style w:type="character" w:styleId="FollowedHyperlink">
    <w:name w:val="FollowedHyperlink"/>
    <w:rsid w:val="0041052B"/>
    <w:rPr>
      <w:color w:val="800080"/>
      <w:u w:val="single"/>
    </w:rPr>
  </w:style>
  <w:style w:type="character" w:styleId="Emphasis">
    <w:name w:val="Emphasis"/>
    <w:uiPriority w:val="20"/>
    <w:qFormat/>
    <w:rsid w:val="008C6CC7"/>
    <w:rPr>
      <w:i/>
      <w:iCs/>
    </w:rPr>
  </w:style>
  <w:style w:type="character" w:styleId="Strong">
    <w:name w:val="Strong"/>
    <w:uiPriority w:val="22"/>
    <w:qFormat/>
    <w:rsid w:val="008C6CC7"/>
    <w:rPr>
      <w:b/>
      <w:bCs/>
    </w:rPr>
  </w:style>
  <w:style w:type="paragraph" w:styleId="FootnoteText">
    <w:name w:val="footnote text"/>
    <w:basedOn w:val="Normal"/>
    <w:link w:val="FootnoteTextChar"/>
    <w:uiPriority w:val="99"/>
    <w:unhideWhenUsed/>
    <w:rsid w:val="00702F59"/>
    <w:rPr>
      <w:rFonts w:eastAsia="Calibri"/>
      <w:sz w:val="20"/>
      <w:szCs w:val="20"/>
    </w:rPr>
  </w:style>
  <w:style w:type="character" w:customStyle="1" w:styleId="FootnoteTextChar">
    <w:name w:val="Footnote Text Char"/>
    <w:link w:val="FootnoteText"/>
    <w:uiPriority w:val="99"/>
    <w:rsid w:val="00702F59"/>
    <w:rPr>
      <w:rFonts w:eastAsia="Calibri"/>
    </w:rPr>
  </w:style>
  <w:style w:type="character" w:styleId="FootnoteReference">
    <w:name w:val="footnote reference"/>
    <w:uiPriority w:val="99"/>
    <w:unhideWhenUsed/>
    <w:rsid w:val="00702F59"/>
    <w:rPr>
      <w:vertAlign w:val="superscript"/>
    </w:rPr>
  </w:style>
  <w:style w:type="paragraph" w:styleId="NormalWeb">
    <w:name w:val="Normal (Web)"/>
    <w:basedOn w:val="Normal"/>
    <w:uiPriority w:val="99"/>
    <w:unhideWhenUsed/>
    <w:rsid w:val="00702F59"/>
    <w:rPr>
      <w:rFonts w:eastAsia="Calibri"/>
    </w:rPr>
  </w:style>
  <w:style w:type="paragraph" w:styleId="Title">
    <w:name w:val="Title"/>
    <w:basedOn w:val="Normal"/>
    <w:next w:val="Normal"/>
    <w:link w:val="TitleChar"/>
    <w:qFormat/>
    <w:rsid w:val="00B12E41"/>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B12E41"/>
    <w:rPr>
      <w:rFonts w:asciiTheme="majorHAnsi" w:eastAsiaTheme="majorEastAsia" w:hAnsiTheme="majorHAnsi" w:cstheme="majorBidi"/>
      <w:color w:val="323E4F" w:themeColor="text2" w:themeShade="BF"/>
      <w:spacing w:val="5"/>
      <w:kern w:val="28"/>
      <w:sz w:val="52"/>
      <w:szCs w:val="52"/>
    </w:rPr>
  </w:style>
  <w:style w:type="character" w:customStyle="1" w:styleId="FooterChar">
    <w:name w:val="Footer Char"/>
    <w:basedOn w:val="DefaultParagraphFont"/>
    <w:link w:val="Footer"/>
    <w:uiPriority w:val="99"/>
    <w:rsid w:val="00696EFF"/>
    <w:rPr>
      <w:sz w:val="24"/>
      <w:szCs w:val="24"/>
    </w:rPr>
  </w:style>
  <w:style w:type="character" w:styleId="UnresolvedMention">
    <w:name w:val="Unresolved Mention"/>
    <w:basedOn w:val="DefaultParagraphFont"/>
    <w:uiPriority w:val="99"/>
    <w:semiHidden/>
    <w:unhideWhenUsed/>
    <w:rsid w:val="003F06A5"/>
    <w:rPr>
      <w:color w:val="605E5C"/>
      <w:shd w:val="clear" w:color="auto" w:fill="E1DFDD"/>
    </w:rPr>
  </w:style>
  <w:style w:type="paragraph" w:styleId="Revision">
    <w:name w:val="Revision"/>
    <w:hidden/>
    <w:uiPriority w:val="99"/>
    <w:semiHidden/>
    <w:rsid w:val="00814A23"/>
    <w:rPr>
      <w:sz w:val="24"/>
      <w:szCs w:val="24"/>
    </w:rPr>
  </w:style>
  <w:style w:type="paragraph" w:styleId="ListParagraph">
    <w:name w:val="List Paragraph"/>
    <w:basedOn w:val="Normal"/>
    <w:uiPriority w:val="34"/>
    <w:qFormat/>
    <w:rsid w:val="00217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2184">
      <w:bodyDiv w:val="1"/>
      <w:marLeft w:val="0"/>
      <w:marRight w:val="0"/>
      <w:marTop w:val="0"/>
      <w:marBottom w:val="0"/>
      <w:divBdr>
        <w:top w:val="none" w:sz="0" w:space="0" w:color="auto"/>
        <w:left w:val="none" w:sz="0" w:space="0" w:color="auto"/>
        <w:bottom w:val="none" w:sz="0" w:space="0" w:color="auto"/>
        <w:right w:val="none" w:sz="0" w:space="0" w:color="auto"/>
      </w:divBdr>
    </w:div>
    <w:div w:id="82580459">
      <w:bodyDiv w:val="1"/>
      <w:marLeft w:val="0"/>
      <w:marRight w:val="0"/>
      <w:marTop w:val="0"/>
      <w:marBottom w:val="0"/>
      <w:divBdr>
        <w:top w:val="none" w:sz="0" w:space="0" w:color="auto"/>
        <w:left w:val="none" w:sz="0" w:space="0" w:color="auto"/>
        <w:bottom w:val="none" w:sz="0" w:space="0" w:color="auto"/>
        <w:right w:val="none" w:sz="0" w:space="0" w:color="auto"/>
      </w:divBdr>
    </w:div>
    <w:div w:id="113258073">
      <w:bodyDiv w:val="1"/>
      <w:marLeft w:val="0"/>
      <w:marRight w:val="0"/>
      <w:marTop w:val="0"/>
      <w:marBottom w:val="0"/>
      <w:divBdr>
        <w:top w:val="none" w:sz="0" w:space="0" w:color="auto"/>
        <w:left w:val="none" w:sz="0" w:space="0" w:color="auto"/>
        <w:bottom w:val="none" w:sz="0" w:space="0" w:color="auto"/>
        <w:right w:val="none" w:sz="0" w:space="0" w:color="auto"/>
      </w:divBdr>
    </w:div>
    <w:div w:id="120921846">
      <w:bodyDiv w:val="1"/>
      <w:marLeft w:val="0"/>
      <w:marRight w:val="0"/>
      <w:marTop w:val="0"/>
      <w:marBottom w:val="0"/>
      <w:divBdr>
        <w:top w:val="none" w:sz="0" w:space="0" w:color="auto"/>
        <w:left w:val="none" w:sz="0" w:space="0" w:color="auto"/>
        <w:bottom w:val="none" w:sz="0" w:space="0" w:color="auto"/>
        <w:right w:val="none" w:sz="0" w:space="0" w:color="auto"/>
      </w:divBdr>
    </w:div>
    <w:div w:id="164781825">
      <w:bodyDiv w:val="1"/>
      <w:marLeft w:val="0"/>
      <w:marRight w:val="0"/>
      <w:marTop w:val="0"/>
      <w:marBottom w:val="0"/>
      <w:divBdr>
        <w:top w:val="none" w:sz="0" w:space="0" w:color="auto"/>
        <w:left w:val="none" w:sz="0" w:space="0" w:color="auto"/>
        <w:bottom w:val="none" w:sz="0" w:space="0" w:color="auto"/>
        <w:right w:val="none" w:sz="0" w:space="0" w:color="auto"/>
      </w:divBdr>
    </w:div>
    <w:div w:id="247738599">
      <w:bodyDiv w:val="1"/>
      <w:marLeft w:val="0"/>
      <w:marRight w:val="0"/>
      <w:marTop w:val="0"/>
      <w:marBottom w:val="0"/>
      <w:divBdr>
        <w:top w:val="none" w:sz="0" w:space="0" w:color="auto"/>
        <w:left w:val="none" w:sz="0" w:space="0" w:color="auto"/>
        <w:bottom w:val="none" w:sz="0" w:space="0" w:color="auto"/>
        <w:right w:val="none" w:sz="0" w:space="0" w:color="auto"/>
      </w:divBdr>
    </w:div>
    <w:div w:id="389696926">
      <w:bodyDiv w:val="1"/>
      <w:marLeft w:val="0"/>
      <w:marRight w:val="0"/>
      <w:marTop w:val="0"/>
      <w:marBottom w:val="0"/>
      <w:divBdr>
        <w:top w:val="none" w:sz="0" w:space="0" w:color="auto"/>
        <w:left w:val="none" w:sz="0" w:space="0" w:color="auto"/>
        <w:bottom w:val="none" w:sz="0" w:space="0" w:color="auto"/>
        <w:right w:val="none" w:sz="0" w:space="0" w:color="auto"/>
      </w:divBdr>
    </w:div>
    <w:div w:id="405298749">
      <w:bodyDiv w:val="1"/>
      <w:marLeft w:val="0"/>
      <w:marRight w:val="0"/>
      <w:marTop w:val="0"/>
      <w:marBottom w:val="0"/>
      <w:divBdr>
        <w:top w:val="none" w:sz="0" w:space="0" w:color="auto"/>
        <w:left w:val="none" w:sz="0" w:space="0" w:color="auto"/>
        <w:bottom w:val="none" w:sz="0" w:space="0" w:color="auto"/>
        <w:right w:val="none" w:sz="0" w:space="0" w:color="auto"/>
      </w:divBdr>
    </w:div>
    <w:div w:id="685794943">
      <w:bodyDiv w:val="1"/>
      <w:marLeft w:val="0"/>
      <w:marRight w:val="0"/>
      <w:marTop w:val="0"/>
      <w:marBottom w:val="0"/>
      <w:divBdr>
        <w:top w:val="none" w:sz="0" w:space="0" w:color="auto"/>
        <w:left w:val="none" w:sz="0" w:space="0" w:color="auto"/>
        <w:bottom w:val="none" w:sz="0" w:space="0" w:color="auto"/>
        <w:right w:val="none" w:sz="0" w:space="0" w:color="auto"/>
      </w:divBdr>
    </w:div>
    <w:div w:id="711732241">
      <w:bodyDiv w:val="1"/>
      <w:marLeft w:val="0"/>
      <w:marRight w:val="0"/>
      <w:marTop w:val="0"/>
      <w:marBottom w:val="0"/>
      <w:divBdr>
        <w:top w:val="none" w:sz="0" w:space="0" w:color="auto"/>
        <w:left w:val="none" w:sz="0" w:space="0" w:color="auto"/>
        <w:bottom w:val="none" w:sz="0" w:space="0" w:color="auto"/>
        <w:right w:val="none" w:sz="0" w:space="0" w:color="auto"/>
      </w:divBdr>
    </w:div>
    <w:div w:id="751390262">
      <w:bodyDiv w:val="1"/>
      <w:marLeft w:val="0"/>
      <w:marRight w:val="0"/>
      <w:marTop w:val="0"/>
      <w:marBottom w:val="0"/>
      <w:divBdr>
        <w:top w:val="none" w:sz="0" w:space="0" w:color="auto"/>
        <w:left w:val="none" w:sz="0" w:space="0" w:color="auto"/>
        <w:bottom w:val="none" w:sz="0" w:space="0" w:color="auto"/>
        <w:right w:val="none" w:sz="0" w:space="0" w:color="auto"/>
      </w:divBdr>
    </w:div>
    <w:div w:id="767628123">
      <w:bodyDiv w:val="1"/>
      <w:marLeft w:val="0"/>
      <w:marRight w:val="0"/>
      <w:marTop w:val="0"/>
      <w:marBottom w:val="0"/>
      <w:divBdr>
        <w:top w:val="none" w:sz="0" w:space="0" w:color="auto"/>
        <w:left w:val="none" w:sz="0" w:space="0" w:color="auto"/>
        <w:bottom w:val="none" w:sz="0" w:space="0" w:color="auto"/>
        <w:right w:val="none" w:sz="0" w:space="0" w:color="auto"/>
      </w:divBdr>
    </w:div>
    <w:div w:id="812481929">
      <w:bodyDiv w:val="1"/>
      <w:marLeft w:val="0"/>
      <w:marRight w:val="0"/>
      <w:marTop w:val="0"/>
      <w:marBottom w:val="0"/>
      <w:divBdr>
        <w:top w:val="none" w:sz="0" w:space="0" w:color="auto"/>
        <w:left w:val="none" w:sz="0" w:space="0" w:color="auto"/>
        <w:bottom w:val="none" w:sz="0" w:space="0" w:color="auto"/>
        <w:right w:val="none" w:sz="0" w:space="0" w:color="auto"/>
      </w:divBdr>
    </w:div>
    <w:div w:id="816604378">
      <w:bodyDiv w:val="1"/>
      <w:marLeft w:val="0"/>
      <w:marRight w:val="0"/>
      <w:marTop w:val="0"/>
      <w:marBottom w:val="0"/>
      <w:divBdr>
        <w:top w:val="none" w:sz="0" w:space="0" w:color="auto"/>
        <w:left w:val="none" w:sz="0" w:space="0" w:color="auto"/>
        <w:bottom w:val="none" w:sz="0" w:space="0" w:color="auto"/>
        <w:right w:val="none" w:sz="0" w:space="0" w:color="auto"/>
      </w:divBdr>
    </w:div>
    <w:div w:id="1028608803">
      <w:bodyDiv w:val="1"/>
      <w:marLeft w:val="0"/>
      <w:marRight w:val="0"/>
      <w:marTop w:val="0"/>
      <w:marBottom w:val="0"/>
      <w:divBdr>
        <w:top w:val="none" w:sz="0" w:space="0" w:color="auto"/>
        <w:left w:val="none" w:sz="0" w:space="0" w:color="auto"/>
        <w:bottom w:val="none" w:sz="0" w:space="0" w:color="auto"/>
        <w:right w:val="none" w:sz="0" w:space="0" w:color="auto"/>
      </w:divBdr>
    </w:div>
    <w:div w:id="1051538014">
      <w:bodyDiv w:val="1"/>
      <w:marLeft w:val="0"/>
      <w:marRight w:val="0"/>
      <w:marTop w:val="0"/>
      <w:marBottom w:val="0"/>
      <w:divBdr>
        <w:top w:val="none" w:sz="0" w:space="0" w:color="auto"/>
        <w:left w:val="none" w:sz="0" w:space="0" w:color="auto"/>
        <w:bottom w:val="none" w:sz="0" w:space="0" w:color="auto"/>
        <w:right w:val="none" w:sz="0" w:space="0" w:color="auto"/>
      </w:divBdr>
    </w:div>
    <w:div w:id="1055276844">
      <w:bodyDiv w:val="1"/>
      <w:marLeft w:val="0"/>
      <w:marRight w:val="0"/>
      <w:marTop w:val="0"/>
      <w:marBottom w:val="0"/>
      <w:divBdr>
        <w:top w:val="none" w:sz="0" w:space="0" w:color="auto"/>
        <w:left w:val="none" w:sz="0" w:space="0" w:color="auto"/>
        <w:bottom w:val="none" w:sz="0" w:space="0" w:color="auto"/>
        <w:right w:val="none" w:sz="0" w:space="0" w:color="auto"/>
      </w:divBdr>
    </w:div>
    <w:div w:id="1111441431">
      <w:bodyDiv w:val="1"/>
      <w:marLeft w:val="0"/>
      <w:marRight w:val="0"/>
      <w:marTop w:val="0"/>
      <w:marBottom w:val="0"/>
      <w:divBdr>
        <w:top w:val="none" w:sz="0" w:space="0" w:color="auto"/>
        <w:left w:val="none" w:sz="0" w:space="0" w:color="auto"/>
        <w:bottom w:val="none" w:sz="0" w:space="0" w:color="auto"/>
        <w:right w:val="none" w:sz="0" w:space="0" w:color="auto"/>
      </w:divBdr>
    </w:div>
    <w:div w:id="1124008707">
      <w:bodyDiv w:val="1"/>
      <w:marLeft w:val="0"/>
      <w:marRight w:val="0"/>
      <w:marTop w:val="0"/>
      <w:marBottom w:val="0"/>
      <w:divBdr>
        <w:top w:val="none" w:sz="0" w:space="0" w:color="auto"/>
        <w:left w:val="none" w:sz="0" w:space="0" w:color="auto"/>
        <w:bottom w:val="none" w:sz="0" w:space="0" w:color="auto"/>
        <w:right w:val="none" w:sz="0" w:space="0" w:color="auto"/>
      </w:divBdr>
    </w:div>
    <w:div w:id="1148866532">
      <w:bodyDiv w:val="1"/>
      <w:marLeft w:val="0"/>
      <w:marRight w:val="0"/>
      <w:marTop w:val="0"/>
      <w:marBottom w:val="0"/>
      <w:divBdr>
        <w:top w:val="none" w:sz="0" w:space="0" w:color="auto"/>
        <w:left w:val="none" w:sz="0" w:space="0" w:color="auto"/>
        <w:bottom w:val="none" w:sz="0" w:space="0" w:color="auto"/>
        <w:right w:val="none" w:sz="0" w:space="0" w:color="auto"/>
      </w:divBdr>
    </w:div>
    <w:div w:id="1213422052">
      <w:bodyDiv w:val="1"/>
      <w:marLeft w:val="0"/>
      <w:marRight w:val="0"/>
      <w:marTop w:val="0"/>
      <w:marBottom w:val="0"/>
      <w:divBdr>
        <w:top w:val="none" w:sz="0" w:space="0" w:color="auto"/>
        <w:left w:val="none" w:sz="0" w:space="0" w:color="auto"/>
        <w:bottom w:val="none" w:sz="0" w:space="0" w:color="auto"/>
        <w:right w:val="none" w:sz="0" w:space="0" w:color="auto"/>
      </w:divBdr>
    </w:div>
    <w:div w:id="1322587102">
      <w:bodyDiv w:val="1"/>
      <w:marLeft w:val="0"/>
      <w:marRight w:val="0"/>
      <w:marTop w:val="0"/>
      <w:marBottom w:val="0"/>
      <w:divBdr>
        <w:top w:val="none" w:sz="0" w:space="0" w:color="auto"/>
        <w:left w:val="none" w:sz="0" w:space="0" w:color="auto"/>
        <w:bottom w:val="none" w:sz="0" w:space="0" w:color="auto"/>
        <w:right w:val="none" w:sz="0" w:space="0" w:color="auto"/>
      </w:divBdr>
    </w:div>
    <w:div w:id="1374696034">
      <w:bodyDiv w:val="1"/>
      <w:marLeft w:val="0"/>
      <w:marRight w:val="0"/>
      <w:marTop w:val="0"/>
      <w:marBottom w:val="0"/>
      <w:divBdr>
        <w:top w:val="none" w:sz="0" w:space="0" w:color="auto"/>
        <w:left w:val="none" w:sz="0" w:space="0" w:color="auto"/>
        <w:bottom w:val="none" w:sz="0" w:space="0" w:color="auto"/>
        <w:right w:val="none" w:sz="0" w:space="0" w:color="auto"/>
      </w:divBdr>
    </w:div>
    <w:div w:id="1531987868">
      <w:bodyDiv w:val="1"/>
      <w:marLeft w:val="0"/>
      <w:marRight w:val="0"/>
      <w:marTop w:val="0"/>
      <w:marBottom w:val="0"/>
      <w:divBdr>
        <w:top w:val="none" w:sz="0" w:space="0" w:color="auto"/>
        <w:left w:val="none" w:sz="0" w:space="0" w:color="auto"/>
        <w:bottom w:val="none" w:sz="0" w:space="0" w:color="auto"/>
        <w:right w:val="none" w:sz="0" w:space="0" w:color="auto"/>
      </w:divBdr>
    </w:div>
    <w:div w:id="1593005392">
      <w:bodyDiv w:val="1"/>
      <w:marLeft w:val="0"/>
      <w:marRight w:val="0"/>
      <w:marTop w:val="0"/>
      <w:marBottom w:val="0"/>
      <w:divBdr>
        <w:top w:val="none" w:sz="0" w:space="0" w:color="auto"/>
        <w:left w:val="none" w:sz="0" w:space="0" w:color="auto"/>
        <w:bottom w:val="none" w:sz="0" w:space="0" w:color="auto"/>
        <w:right w:val="none" w:sz="0" w:space="0" w:color="auto"/>
      </w:divBdr>
    </w:div>
    <w:div w:id="1707216503">
      <w:bodyDiv w:val="1"/>
      <w:marLeft w:val="0"/>
      <w:marRight w:val="0"/>
      <w:marTop w:val="0"/>
      <w:marBottom w:val="0"/>
      <w:divBdr>
        <w:top w:val="none" w:sz="0" w:space="0" w:color="auto"/>
        <w:left w:val="none" w:sz="0" w:space="0" w:color="auto"/>
        <w:bottom w:val="none" w:sz="0" w:space="0" w:color="auto"/>
        <w:right w:val="none" w:sz="0" w:space="0" w:color="auto"/>
      </w:divBdr>
      <w:divsChild>
        <w:div w:id="871302647">
          <w:marLeft w:val="0"/>
          <w:marRight w:val="0"/>
          <w:marTop w:val="0"/>
          <w:marBottom w:val="0"/>
          <w:divBdr>
            <w:top w:val="none" w:sz="0" w:space="0" w:color="auto"/>
            <w:left w:val="none" w:sz="0" w:space="0" w:color="auto"/>
            <w:bottom w:val="none" w:sz="0" w:space="0" w:color="auto"/>
            <w:right w:val="none" w:sz="0" w:space="0" w:color="auto"/>
          </w:divBdr>
          <w:divsChild>
            <w:div w:id="75441249">
              <w:marLeft w:val="0"/>
              <w:marRight w:val="0"/>
              <w:marTop w:val="0"/>
              <w:marBottom w:val="0"/>
              <w:divBdr>
                <w:top w:val="none" w:sz="0" w:space="0" w:color="auto"/>
                <w:left w:val="none" w:sz="0" w:space="0" w:color="auto"/>
                <w:bottom w:val="none" w:sz="0" w:space="0" w:color="auto"/>
                <w:right w:val="none" w:sz="0" w:space="0" w:color="auto"/>
              </w:divBdr>
              <w:divsChild>
                <w:div w:id="1439566072">
                  <w:marLeft w:val="0"/>
                  <w:marRight w:val="0"/>
                  <w:marTop w:val="0"/>
                  <w:marBottom w:val="0"/>
                  <w:divBdr>
                    <w:top w:val="none" w:sz="0" w:space="0" w:color="auto"/>
                    <w:left w:val="none" w:sz="0" w:space="0" w:color="auto"/>
                    <w:bottom w:val="none" w:sz="0" w:space="0" w:color="auto"/>
                    <w:right w:val="none" w:sz="0" w:space="0" w:color="auto"/>
                  </w:divBdr>
                  <w:divsChild>
                    <w:div w:id="836074920">
                      <w:marLeft w:val="0"/>
                      <w:marRight w:val="0"/>
                      <w:marTop w:val="0"/>
                      <w:marBottom w:val="0"/>
                      <w:divBdr>
                        <w:top w:val="none" w:sz="0" w:space="0" w:color="auto"/>
                        <w:left w:val="none" w:sz="0" w:space="0" w:color="auto"/>
                        <w:bottom w:val="none" w:sz="0" w:space="0" w:color="auto"/>
                        <w:right w:val="none" w:sz="0" w:space="0" w:color="auto"/>
                      </w:divBdr>
                      <w:divsChild>
                        <w:div w:id="497422578">
                          <w:marLeft w:val="0"/>
                          <w:marRight w:val="0"/>
                          <w:marTop w:val="0"/>
                          <w:marBottom w:val="0"/>
                          <w:divBdr>
                            <w:top w:val="none" w:sz="0" w:space="0" w:color="auto"/>
                            <w:left w:val="none" w:sz="0" w:space="0" w:color="auto"/>
                            <w:bottom w:val="none" w:sz="0" w:space="0" w:color="auto"/>
                            <w:right w:val="none" w:sz="0" w:space="0" w:color="auto"/>
                          </w:divBdr>
                          <w:divsChild>
                            <w:div w:id="1079248310">
                              <w:marLeft w:val="0"/>
                              <w:marRight w:val="0"/>
                              <w:marTop w:val="0"/>
                              <w:marBottom w:val="0"/>
                              <w:divBdr>
                                <w:top w:val="none" w:sz="0" w:space="0" w:color="auto"/>
                                <w:left w:val="none" w:sz="0" w:space="0" w:color="auto"/>
                                <w:bottom w:val="none" w:sz="0" w:space="0" w:color="auto"/>
                                <w:right w:val="none" w:sz="0" w:space="0" w:color="auto"/>
                              </w:divBdr>
                              <w:divsChild>
                                <w:div w:id="1693267580">
                                  <w:marLeft w:val="0"/>
                                  <w:marRight w:val="0"/>
                                  <w:marTop w:val="240"/>
                                  <w:marBottom w:val="240"/>
                                  <w:divBdr>
                                    <w:top w:val="none" w:sz="0" w:space="0" w:color="auto"/>
                                    <w:left w:val="none" w:sz="0" w:space="0" w:color="auto"/>
                                    <w:bottom w:val="none" w:sz="0" w:space="0" w:color="auto"/>
                                    <w:right w:val="none" w:sz="0" w:space="0" w:color="auto"/>
                                  </w:divBdr>
                                  <w:divsChild>
                                    <w:div w:id="100954256">
                                      <w:marLeft w:val="0"/>
                                      <w:marRight w:val="0"/>
                                      <w:marTop w:val="0"/>
                                      <w:marBottom w:val="0"/>
                                      <w:divBdr>
                                        <w:top w:val="none" w:sz="0" w:space="0" w:color="auto"/>
                                        <w:left w:val="none" w:sz="0" w:space="0" w:color="auto"/>
                                        <w:bottom w:val="none" w:sz="0" w:space="0" w:color="auto"/>
                                        <w:right w:val="none" w:sz="0" w:space="0" w:color="auto"/>
                                      </w:divBdr>
                                      <w:divsChild>
                                        <w:div w:id="1436560378">
                                          <w:marLeft w:val="0"/>
                                          <w:marRight w:val="0"/>
                                          <w:marTop w:val="0"/>
                                          <w:marBottom w:val="0"/>
                                          <w:divBdr>
                                            <w:top w:val="none" w:sz="0" w:space="0" w:color="auto"/>
                                            <w:left w:val="none" w:sz="0" w:space="0" w:color="auto"/>
                                            <w:bottom w:val="none" w:sz="0" w:space="0" w:color="auto"/>
                                            <w:right w:val="none" w:sz="0" w:space="0" w:color="auto"/>
                                          </w:divBdr>
                                          <w:divsChild>
                                            <w:div w:id="728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144065">
      <w:bodyDiv w:val="1"/>
      <w:marLeft w:val="0"/>
      <w:marRight w:val="0"/>
      <w:marTop w:val="0"/>
      <w:marBottom w:val="0"/>
      <w:divBdr>
        <w:top w:val="none" w:sz="0" w:space="0" w:color="auto"/>
        <w:left w:val="none" w:sz="0" w:space="0" w:color="auto"/>
        <w:bottom w:val="none" w:sz="0" w:space="0" w:color="auto"/>
        <w:right w:val="none" w:sz="0" w:space="0" w:color="auto"/>
      </w:divBdr>
    </w:div>
    <w:div w:id="1860773823">
      <w:bodyDiv w:val="1"/>
      <w:marLeft w:val="0"/>
      <w:marRight w:val="0"/>
      <w:marTop w:val="0"/>
      <w:marBottom w:val="0"/>
      <w:divBdr>
        <w:top w:val="none" w:sz="0" w:space="0" w:color="auto"/>
        <w:left w:val="none" w:sz="0" w:space="0" w:color="auto"/>
        <w:bottom w:val="none" w:sz="0" w:space="0" w:color="auto"/>
        <w:right w:val="none" w:sz="0" w:space="0" w:color="auto"/>
      </w:divBdr>
    </w:div>
    <w:div w:id="1897352330">
      <w:bodyDiv w:val="1"/>
      <w:marLeft w:val="0"/>
      <w:marRight w:val="0"/>
      <w:marTop w:val="0"/>
      <w:marBottom w:val="0"/>
      <w:divBdr>
        <w:top w:val="none" w:sz="0" w:space="0" w:color="auto"/>
        <w:left w:val="none" w:sz="0" w:space="0" w:color="auto"/>
        <w:bottom w:val="none" w:sz="0" w:space="0" w:color="auto"/>
        <w:right w:val="none" w:sz="0" w:space="0" w:color="auto"/>
      </w:divBdr>
    </w:div>
    <w:div w:id="1991863913">
      <w:bodyDiv w:val="1"/>
      <w:marLeft w:val="0"/>
      <w:marRight w:val="0"/>
      <w:marTop w:val="0"/>
      <w:marBottom w:val="0"/>
      <w:divBdr>
        <w:top w:val="none" w:sz="0" w:space="0" w:color="auto"/>
        <w:left w:val="none" w:sz="0" w:space="0" w:color="auto"/>
        <w:bottom w:val="none" w:sz="0" w:space="0" w:color="auto"/>
        <w:right w:val="none" w:sz="0" w:space="0" w:color="auto"/>
      </w:divBdr>
    </w:div>
    <w:div w:id="2099905680">
      <w:bodyDiv w:val="1"/>
      <w:marLeft w:val="0"/>
      <w:marRight w:val="0"/>
      <w:marTop w:val="0"/>
      <w:marBottom w:val="0"/>
      <w:divBdr>
        <w:top w:val="none" w:sz="0" w:space="0" w:color="auto"/>
        <w:left w:val="none" w:sz="0" w:space="0" w:color="auto"/>
        <w:bottom w:val="none" w:sz="0" w:space="0" w:color="auto"/>
        <w:right w:val="none" w:sz="0" w:space="0" w:color="auto"/>
      </w:divBdr>
      <w:divsChild>
        <w:div w:id="89011547">
          <w:marLeft w:val="0"/>
          <w:marRight w:val="0"/>
          <w:marTop w:val="0"/>
          <w:marBottom w:val="0"/>
          <w:divBdr>
            <w:top w:val="none" w:sz="0" w:space="0" w:color="auto"/>
            <w:left w:val="none" w:sz="0" w:space="0" w:color="auto"/>
            <w:bottom w:val="none" w:sz="0" w:space="0" w:color="auto"/>
            <w:right w:val="none" w:sz="0" w:space="0" w:color="auto"/>
          </w:divBdr>
          <w:divsChild>
            <w:div w:id="1717927821">
              <w:marLeft w:val="0"/>
              <w:marRight w:val="0"/>
              <w:marTop w:val="0"/>
              <w:marBottom w:val="0"/>
              <w:divBdr>
                <w:top w:val="none" w:sz="0" w:space="0" w:color="auto"/>
                <w:left w:val="none" w:sz="0" w:space="0" w:color="auto"/>
                <w:bottom w:val="none" w:sz="0" w:space="0" w:color="auto"/>
                <w:right w:val="none" w:sz="0" w:space="0" w:color="auto"/>
              </w:divBdr>
              <w:divsChild>
                <w:div w:id="79833252">
                  <w:marLeft w:val="0"/>
                  <w:marRight w:val="0"/>
                  <w:marTop w:val="0"/>
                  <w:marBottom w:val="0"/>
                  <w:divBdr>
                    <w:top w:val="none" w:sz="0" w:space="0" w:color="auto"/>
                    <w:left w:val="none" w:sz="0" w:space="0" w:color="auto"/>
                    <w:bottom w:val="none" w:sz="0" w:space="0" w:color="auto"/>
                    <w:right w:val="none" w:sz="0" w:space="0" w:color="auto"/>
                  </w:divBdr>
                  <w:divsChild>
                    <w:div w:id="1029527478">
                      <w:marLeft w:val="0"/>
                      <w:marRight w:val="0"/>
                      <w:marTop w:val="0"/>
                      <w:marBottom w:val="0"/>
                      <w:divBdr>
                        <w:top w:val="none" w:sz="0" w:space="0" w:color="auto"/>
                        <w:left w:val="none" w:sz="0" w:space="0" w:color="auto"/>
                        <w:bottom w:val="none" w:sz="0" w:space="0" w:color="auto"/>
                        <w:right w:val="none" w:sz="0" w:space="0" w:color="auto"/>
                      </w:divBdr>
                      <w:divsChild>
                        <w:div w:id="333150431">
                          <w:marLeft w:val="0"/>
                          <w:marRight w:val="0"/>
                          <w:marTop w:val="0"/>
                          <w:marBottom w:val="0"/>
                          <w:divBdr>
                            <w:top w:val="none" w:sz="0" w:space="0" w:color="auto"/>
                            <w:left w:val="none" w:sz="0" w:space="0" w:color="auto"/>
                            <w:bottom w:val="none" w:sz="0" w:space="0" w:color="auto"/>
                            <w:right w:val="none" w:sz="0" w:space="0" w:color="auto"/>
                          </w:divBdr>
                          <w:divsChild>
                            <w:div w:id="2011133817">
                              <w:marLeft w:val="0"/>
                              <w:marRight w:val="0"/>
                              <w:marTop w:val="0"/>
                              <w:marBottom w:val="0"/>
                              <w:divBdr>
                                <w:top w:val="none" w:sz="0" w:space="0" w:color="auto"/>
                                <w:left w:val="none" w:sz="0" w:space="0" w:color="auto"/>
                                <w:bottom w:val="none" w:sz="0" w:space="0" w:color="auto"/>
                                <w:right w:val="none" w:sz="0" w:space="0" w:color="auto"/>
                              </w:divBdr>
                              <w:divsChild>
                                <w:div w:id="62874857">
                                  <w:marLeft w:val="0"/>
                                  <w:marRight w:val="0"/>
                                  <w:marTop w:val="240"/>
                                  <w:marBottom w:val="240"/>
                                  <w:divBdr>
                                    <w:top w:val="none" w:sz="0" w:space="0" w:color="auto"/>
                                    <w:left w:val="none" w:sz="0" w:space="0" w:color="auto"/>
                                    <w:bottom w:val="none" w:sz="0" w:space="0" w:color="auto"/>
                                    <w:right w:val="none" w:sz="0" w:space="0" w:color="auto"/>
                                  </w:divBdr>
                                  <w:divsChild>
                                    <w:div w:id="882523530">
                                      <w:marLeft w:val="0"/>
                                      <w:marRight w:val="0"/>
                                      <w:marTop w:val="0"/>
                                      <w:marBottom w:val="0"/>
                                      <w:divBdr>
                                        <w:top w:val="none" w:sz="0" w:space="0" w:color="auto"/>
                                        <w:left w:val="none" w:sz="0" w:space="0" w:color="auto"/>
                                        <w:bottom w:val="none" w:sz="0" w:space="0" w:color="auto"/>
                                        <w:right w:val="none" w:sz="0" w:space="0" w:color="auto"/>
                                      </w:divBdr>
                                      <w:divsChild>
                                        <w:div w:id="376242351">
                                          <w:marLeft w:val="0"/>
                                          <w:marRight w:val="0"/>
                                          <w:marTop w:val="0"/>
                                          <w:marBottom w:val="0"/>
                                          <w:divBdr>
                                            <w:top w:val="none" w:sz="0" w:space="0" w:color="auto"/>
                                            <w:left w:val="none" w:sz="0" w:space="0" w:color="auto"/>
                                            <w:bottom w:val="none" w:sz="0" w:space="0" w:color="auto"/>
                                            <w:right w:val="none" w:sz="0" w:space="0" w:color="auto"/>
                                          </w:divBdr>
                                          <w:divsChild>
                                            <w:div w:id="1763523591">
                                              <w:marLeft w:val="0"/>
                                              <w:marRight w:val="0"/>
                                              <w:marTop w:val="0"/>
                                              <w:marBottom w:val="0"/>
                                              <w:divBdr>
                                                <w:top w:val="none" w:sz="0" w:space="0" w:color="auto"/>
                                                <w:left w:val="none" w:sz="0" w:space="0" w:color="auto"/>
                                                <w:bottom w:val="none" w:sz="0" w:space="0" w:color="auto"/>
                                                <w:right w:val="none" w:sz="0" w:space="0" w:color="auto"/>
                                              </w:divBdr>
                                              <w:divsChild>
                                                <w:div w:id="60567744">
                                                  <w:marLeft w:val="0"/>
                                                  <w:marRight w:val="0"/>
                                                  <w:marTop w:val="0"/>
                                                  <w:marBottom w:val="0"/>
                                                  <w:divBdr>
                                                    <w:top w:val="none" w:sz="0" w:space="0" w:color="auto"/>
                                                    <w:left w:val="none" w:sz="0" w:space="0" w:color="auto"/>
                                                    <w:bottom w:val="none" w:sz="0" w:space="0" w:color="auto"/>
                                                    <w:right w:val="none" w:sz="0" w:space="0" w:color="auto"/>
                                                  </w:divBdr>
                                                </w:div>
                                                <w:div w:id="1076975515">
                                                  <w:marLeft w:val="0"/>
                                                  <w:marRight w:val="0"/>
                                                  <w:marTop w:val="0"/>
                                                  <w:marBottom w:val="0"/>
                                                  <w:divBdr>
                                                    <w:top w:val="none" w:sz="0" w:space="0" w:color="auto"/>
                                                    <w:left w:val="none" w:sz="0" w:space="0" w:color="auto"/>
                                                    <w:bottom w:val="none" w:sz="0" w:space="0" w:color="auto"/>
                                                    <w:right w:val="none" w:sz="0" w:space="0" w:color="auto"/>
                                                  </w:divBdr>
                                                </w:div>
                                                <w:div w:id="15787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urts.wa.gov/opinions/index.cfm?fa=opinions.showOpinion&amp;filename=1020023M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B018D-90B8-4BCE-B14D-9CAFD3B21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4294</Words>
  <Characters>22904</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Technical Assistance Practice Advisory</vt:lpstr>
    </vt:vector>
  </TitlesOfParts>
  <Company>Microsoft</Company>
  <LinksUpToDate>false</LinksUpToDate>
  <CharactersWithSpaces>27144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Assistance Practice Advisory</dc:title>
  <dc:creator>Travis Stearns</dc:creator>
  <cp:lastModifiedBy>Cindy Arends Elsberry</cp:lastModifiedBy>
  <cp:revision>4</cp:revision>
  <cp:lastPrinted>2012-12-17T16:36:00Z</cp:lastPrinted>
  <dcterms:created xsi:type="dcterms:W3CDTF">2025-03-13T16:46:00Z</dcterms:created>
  <dcterms:modified xsi:type="dcterms:W3CDTF">2025-03-13T17:13:00Z</dcterms:modified>
</cp:coreProperties>
</file>